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10792-2020 i Fagersta kommun</w:t>
      </w:r>
    </w:p>
    <w:p>
      <w:r>
        <w:t>Detta dokument behandlar höga naturvärden i avverkningsanmälan A 10792-2020 i Fagersta kommun. Denna avverkningsanmälan inkom 2020-02-27 och omfattar 29,3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rynkskinn (VU), tallticka (NT), ullticka (NT), vedtrappmossa (NT), blodticka (S), dropptaggsvamp (S), grönpyrola (S), nästlav (S), skarp dropptaggsvamp (S), vedticka (S)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56135"/>
            <wp:docPr id="1" name="Picture 1"/>
            <wp:cNvGraphicFramePr>
              <a:graphicFrameLocks noChangeAspect="1"/>
            </wp:cNvGraphicFramePr>
            <a:graphic>
              <a:graphicData uri="http://schemas.openxmlformats.org/drawingml/2006/picture">
                <pic:pic>
                  <pic:nvPicPr>
                    <pic:cNvPr id="0" name="A 10792-2020 karta.png"/>
                    <pic:cNvPicPr/>
                  </pic:nvPicPr>
                  <pic:blipFill>
                    <a:blip r:embed="rId16"/>
                    <a:stretch>
                      <a:fillRect/>
                    </a:stretch>
                  </pic:blipFill>
                  <pic:spPr>
                    <a:xfrm>
                      <a:off x="0" y="0"/>
                      <a:ext cx="5486400" cy="5756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6636469, E 551316 i SWEREF 99 TM.</w:t>
      </w:r>
    </w:p>
    <w:p>
      <w:pPr>
        <w:pStyle w:val="Heading1"/>
      </w:pPr>
      <w:r>
        <w:t>Fridlysta arter</w:t>
      </w:r>
    </w:p>
    <w:p>
      <w:r>
        <w:t>Följande fridlysta arter har sina livsmiljöer och växtplatser i den avverkningsanmälda skogen: knärot (VU, §8) och revlummer (§9).</w:t>
      </w:r>
      <w:r>
        <w:t xml:space="preserve"> I BILAGA 1 finns information om ekologi samt krav på livsmiljö hos fridlysta arter.</w:t>
      </w:r>
    </w:p>
    <w:p>
      <w:r>
        <w:t>I det avverkningsanmälda området finns 8 fyndplatser för knärot registrerade på Artportalen. För att knärotslokaler inte ska försvinna vid avverkning krävs att en buffertzon på 50 m lämnas kring samtliga fyndplatser. Figur 2 visar gränserna för dessa buffertzoner.</w:t>
      </w:r>
    </w:p>
    <w:p>
      <w:pPr>
        <w:pStyle w:val="Caption"/>
      </w:pPr>
      <w:r>
        <w:drawing>
          <wp:inline xmlns:a="http://schemas.openxmlformats.org/drawingml/2006/main" xmlns:pic="http://schemas.openxmlformats.org/drawingml/2006/picture">
            <wp:extent cx="5486400" cy="7563293"/>
            <wp:docPr id="2" name="Picture 2"/>
            <wp:cNvGraphicFramePr>
              <a:graphicFrameLocks noChangeAspect="1"/>
            </wp:cNvGraphicFramePr>
            <a:graphic>
              <a:graphicData uri="http://schemas.openxmlformats.org/drawingml/2006/picture">
                <pic:pic>
                  <pic:nvPicPr>
                    <pic:cNvPr id="0" name="A 10792-2020 karta knärot.png"/>
                    <pic:cNvPicPr/>
                  </pic:nvPicPr>
                  <pic:blipFill>
                    <a:blip r:embed="rId17"/>
                    <a:stretch>
                      <a:fillRect/>
                    </a:stretch>
                  </pic:blipFill>
                  <pic:spPr>
                    <a:xfrm>
                      <a:off x="0" y="0"/>
                      <a:ext cx="5486400" cy="756329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6636469, E 551316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