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3629-2024 i Fagersta kommun</w:t>
      </w:r>
    </w:p>
    <w:p>
      <w:r>
        <w:t>Denna tillsynsbegäran behandlar höga naturvärden i samrådsanmälan S 3629-2024 i Fagersta kommun som inkom 2024-09-13 och omfattar 784,4 ha.</w:t>
      </w:r>
    </w:p>
    <w:p>
      <w:pPr>
        <w:pStyle w:val="Caption"/>
      </w:pPr>
      <w:r>
        <w:drawing>
          <wp:inline xmlns:a="http://schemas.openxmlformats.org/drawingml/2006/main" xmlns:pic="http://schemas.openxmlformats.org/drawingml/2006/picture">
            <wp:extent cx="4699188" cy="5724000"/>
            <wp:docPr id="1" name="Picture 1"/>
            <wp:cNvGraphicFramePr>
              <a:graphicFrameLocks noChangeAspect="1"/>
            </wp:cNvGraphicFramePr>
            <a:graphic>
              <a:graphicData uri="http://schemas.openxmlformats.org/drawingml/2006/picture">
                <pic:pic>
                  <pic:nvPicPr>
                    <pic:cNvPr id="0" name="S 3629-2024 karta.png"/>
                    <pic:cNvPicPr/>
                  </pic:nvPicPr>
                  <pic:blipFill>
                    <a:blip r:embed="rId16"/>
                    <a:stretch>
                      <a:fillRect/>
                    </a:stretch>
                  </pic:blipFill>
                  <pic:spPr>
                    <a:xfrm>
                      <a:off x="0" y="0"/>
                      <a:ext cx="469918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6650617, E 544550 i SWEREF 99 TM.</w:t>
      </w:r>
    </w:p>
    <w:p>
      <w:r>
        <w:t>I och inom 24 meter från samrådsanmälan finns fynd av 19 naturvårdsarter, varav 5 är rödlistade, 10 är fridlysta, 6 är typiska (T) och 7 är signalarter (S): aspfibbla (VU), gul taggsvamp (VU, T), brunklöver (NT), hägerströmsfibbla (NT), jungfrulin (NT), grönkulla (S, T, §8), korallrot (S, T, §8), korthornad vedstekel (S), kärrkammossa (S, T), olivspindling (S), spädstarr (S, T), tvåblad (S, §8), järpe (T, §4), grönsiska (§4), smålom (§4), skogsödla (§6), dubbelnycklar (§8), fläcknycklar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Spädstarr </w:t>
      </w:r>
      <w:r>
        <w:t xml:space="preserve">är typisk art för </w:t>
      </w:r>
      <w:r>
        <w:rPr>
          <w:i/>
        </w:rPr>
        <w:t xml:space="preserve">9080 Lövsumpskog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grönkulla (S, T, §8), korallrot (S, T, §8), kärrkammossa (S, T), spädstarr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