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42857-2026 i Köpings kommun</w:t>
      </w:r>
    </w:p>
    <w:p>
      <w:r>
        <w:t>Denna tillsynsbegäran behandlar höga naturvärden i avverkningsanmälan A 42857-2026 i Köpings kommun som inkom 2026-10-15 och omfattar 5,2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285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6614838, E 537609 i SWEREF 99 TM.</w:t>
      </w:r>
    </w:p>
    <w:p>
      <w:r>
        <w:t>I och inom 21 meter från avverkningsanmälan finns fynd av 15 naturvårdsarter, varav 8 är rödlistade, 2 är fridlysta, 12 är typiska (T) och 6 är signalarter (S): garnlav (VU, T), gul taggsvamp (VU, T), knärot (VU, T, §8), dofttaggsvamp (NT, T), dropptaggsvamp (NT, T), motaggsvamp (NT, T), orange taggsvamp (NT, T), skogstrappmossa (NT), källpraktmossa (S, T), mörk husmossa (S, T), platt fjädermossa (S, T), rödgul trumpetsvamp (S), skogshakmossa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42857-2026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6614838, E 537609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 taggsvamp (VU, T), knärot (VU, T, §8), dofttaggsvamp (NT, T), dropptaggsvamp (NT, T), motaggsvamp (NT, T), orange taggsvamp (NT, T), källpraktmossa (S, T), mörk husmossa (S, T), platt fjädermossa (S, T), skogshakmossa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