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43942-2025 i Köpings kommun</w:t>
      </w:r>
    </w:p>
    <w:p>
      <w:r>
        <w:t>Detta dokument behandlar höga naturvärden i avverkningsanmälan A 43942-2025 i Köpings kommun. Denna avverkningsanmälan inkom 2025-09-15 08:46:23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storgröe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1838"/>
            <wp:docPr id="1" name="Picture 1"/>
            <wp:cNvGraphicFramePr>
              <a:graphicFrameLocks noChangeAspect="1"/>
            </wp:cNvGraphicFramePr>
            <a:graphic>
              <a:graphicData uri="http://schemas.openxmlformats.org/drawingml/2006/picture">
                <pic:pic>
                  <pic:nvPicPr>
                    <pic:cNvPr id="0" name="A 43942-2025 karta.png"/>
                    <pic:cNvPicPr/>
                  </pic:nvPicPr>
                  <pic:blipFill>
                    <a:blip r:embed="rId16"/>
                    <a:stretch>
                      <a:fillRect/>
                    </a:stretch>
                  </pic:blipFill>
                  <pic:spPr>
                    <a:xfrm>
                      <a:off x="0" y="0"/>
                      <a:ext cx="5486400" cy="3951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6605872, E 547491 i SWEREF 99 TM.</w:t>
      </w:r>
    </w:p>
    <w:p>
      <w:r>
        <w:rPr>
          <w:b/>
        </w:rPr>
        <w:t xml:space="preserve">Storgröe (NT) </w:t>
      </w:r>
      <w:r>
        <w:t>växer helst i eller vid källor, i bäckraviner, i frodiga skogssluttningar eller sumpskog. Rörligt, gärna något kalkpåverkat, ytligt grundvatten är en förutsättning. Det är främst förändringar av hydrologiska förhållanden genom dikning, körning med skogsfordon eller avverkning som hotar arten. Växtplatserna bör undantas från normal skogsproduktion och kalavverkning är direkt olämpligt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