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3 naturvårdsarter, varav 3 är rödlistade, 2 är fridlysta och 3 är typiska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