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16725-2024 i Vansbro kommun</w:t>
      </w:r>
    </w:p>
    <w:p>
      <w:r>
        <w:t>Detta dokument behandlar höga naturvärden i avverkningsanmälan A 16725-2024 i Vansbro kommun. Denna avverkningsanmälan inkom 2024-04-27 18:08:34 och omfattar 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svart taggsvamp (NT), bollvitmossa (S) och skuggblåslav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875321"/>
            <wp:docPr id="1" name="Picture 1"/>
            <wp:cNvGraphicFramePr>
              <a:graphicFrameLocks noChangeAspect="1"/>
            </wp:cNvGraphicFramePr>
            <a:graphic>
              <a:graphicData uri="http://schemas.openxmlformats.org/drawingml/2006/picture">
                <pic:pic>
                  <pic:nvPicPr>
                    <pic:cNvPr id="0" name="A 16725-2024 karta.png"/>
                    <pic:cNvPicPr/>
                  </pic:nvPicPr>
                  <pic:blipFill>
                    <a:blip r:embed="rId16"/>
                    <a:stretch>
                      <a:fillRect/>
                    </a:stretch>
                  </pic:blipFill>
                  <pic:spPr>
                    <a:xfrm>
                      <a:off x="0" y="0"/>
                      <a:ext cx="5486400" cy="78753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6701301, E 443549 i SWEREF 99 TM.</w:t>
      </w:r>
    </w:p>
    <w:p>
      <w:r>
        <w:rPr>
          <w:b/>
        </w:rPr>
        <w:t xml:space="preserve">Bollvitmossa </w:t>
      </w:r>
      <w:r>
        <w:t>är en bra signalart inom hela sitt utbredningsområde. Vanligast är den i naturvårdsintressanta tallsumpskogar. Även gransumpskogar med bollvitmossa har normalt höga naturvärden. Arten indikerar skogsmark med stabila hydrologiska förhållanden och sannolikt även lång skoglig kontinuitet (Nitare &amp; Skogsstyrelsen, 2019).</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