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49329-2025 i Vansbro kommun</w:t>
      </w:r>
    </w:p>
    <w:p>
      <w:r>
        <w:t>Denna tillsynsbegäran behandlar höga naturvärden i avverkningsanmälan A 49329-2025 i Vansbro kommun som inkom 2025-10-08 och omfattar 1,2 ha.</w:t>
      </w:r>
    </w:p>
    <w:p>
      <w:pPr>
        <w:pStyle w:val="Caption"/>
      </w:pPr>
      <w:r>
        <w:drawing>
          <wp:inline xmlns:a="http://schemas.openxmlformats.org/drawingml/2006/main" xmlns:pic="http://schemas.openxmlformats.org/drawingml/2006/picture">
            <wp:extent cx="5486400" cy="5599522"/>
            <wp:docPr id="1" name="Picture 1"/>
            <wp:cNvGraphicFramePr>
              <a:graphicFrameLocks noChangeAspect="1"/>
            </wp:cNvGraphicFramePr>
            <a:graphic>
              <a:graphicData uri="http://schemas.openxmlformats.org/drawingml/2006/picture">
                <pic:pic>
                  <pic:nvPicPr>
                    <pic:cNvPr id="0" name="A 49329-2025 karta.png"/>
                    <pic:cNvPicPr/>
                  </pic:nvPicPr>
                  <pic:blipFill>
                    <a:blip r:embed="rId16"/>
                    <a:stretch>
                      <a:fillRect/>
                    </a:stretch>
                  </pic:blipFill>
                  <pic:spPr>
                    <a:xfrm>
                      <a:off x="0" y="0"/>
                      <a:ext cx="5486400" cy="5599522"/>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6682124, E 479217 i SWEREF 99 TM.</w:t>
      </w:r>
    </w:p>
    <w:p>
      <w:r>
        <w:t>Inom 24 meter från avverkningsanmälan finns fynd av 15 naturvårdsarter, varav 3 är rödlistade och 12 är signalarter (S): vridfingersvamp (VU), brun ängsvaxing (NT), rosenfingersvamp (NT), aprikosfingersvamp (S), blodvaxing (S), broskvaxing (S), hagfingersvamp (S), maskfingersvamp (S), opalfingersvamp (S), papegojvaxing (S), sprödvaxing (S), toppvaxing (S), vitvaxing agg. (S), ängsfingersvamp (S) och ängsvaxing agg.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Brun ängsvaxing (NT) </w:t>
      </w:r>
      <w:r>
        <w:t>växer på mulljord i örtrik, välhävdad grässvål i ängs- och naturbetesmark på kalkrik mark, men sällsynt även i vägkanter och i ädellövskog. Arten är globalt rödlistad som sårbar (VU) vilket innebär att Sverige har ett internationellt ansvar för arten (SLU Artdatabanken, 2024; IUCN, 2019).</w:t>
      </w:r>
    </w:p>
    <w:p>
      <w:r>
        <w:rPr>
          <w:b/>
        </w:rPr>
        <w:t xml:space="preserve">Rosenfingersvamp (NT) </w:t>
      </w:r>
      <w:r>
        <w:t>växer på kalkhaltig, gärna sandig gräsmark. Några växtplatser är längs vägkanter med lågvuxen vegetation och stort inslag av mossor. Arten förekommer även i rik löv- och blandskog. Förekomster i skogsmiljö bör undantas från storskaligt skogsbruk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