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och inom 25 meter från avverkningsanmälan finns fynd av 12 naturvårdsarter, varav 9 är rödlistade, 3 är fridlysta, 10 är typiska (T) och 1 är signalart (S): garnlav (VU, T), jättemusseron (VU), dropptaggsvamp (NT, T), kolflarnlav (NT, T), motaggsvamp (NT, T), tallticka (NT, T), tretåig hackspett (NT, T, §4), vaddporing (NT),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