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och inom 25 meter från avverkningsanmälan finns fynd av 12 naturvårdsarter, varav 9 är rödlistade, 3 är fridlysta, 10 är typiska (T) och 1 är signalart (S): garnlav (VU, T), jättemusseron (VU), dropptaggsvamp (NT, T), kolflarnlav (NT, T), motaggsvamp (NT, T), tallticka (NT, T), tretåig hackspett (NT, T, §4), vaddporing (NT),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tallticka (NT, T), tretåig hackspett (NT, T, §4),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