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15749-2026 i Malung-Sälens kommun</w:t>
      </w:r>
    </w:p>
    <w:p>
      <w:r>
        <w:t>Denna tillsynsbegäran behandlar höga naturvärden i avverkningsanmälan A 15749-2026 i Malung-Sälens kommun som inkom 2026-03-25 och omfattar 2,5 ha.</w:t>
      </w:r>
    </w:p>
    <w:p>
      <w:pPr>
        <w:pStyle w:val="Caption"/>
      </w:pPr>
      <w:r>
        <w:drawing>
          <wp:inline xmlns:a="http://schemas.openxmlformats.org/drawingml/2006/main" xmlns:pic="http://schemas.openxmlformats.org/drawingml/2006/picture">
            <wp:extent cx="5486400" cy="4688818"/>
            <wp:docPr id="1" name="Picture 1"/>
            <wp:cNvGraphicFramePr>
              <a:graphicFrameLocks noChangeAspect="1"/>
            </wp:cNvGraphicFramePr>
            <a:graphic>
              <a:graphicData uri="http://schemas.openxmlformats.org/drawingml/2006/picture">
                <pic:pic>
                  <pic:nvPicPr>
                    <pic:cNvPr id="0" name="A 15749-2026 karta.png"/>
                    <pic:cNvPicPr/>
                  </pic:nvPicPr>
                  <pic:blipFill>
                    <a:blip r:embed="rId16"/>
                    <a:stretch>
                      <a:fillRect/>
                    </a:stretch>
                  </pic:blipFill>
                  <pic:spPr>
                    <a:xfrm>
                      <a:off x="0" y="0"/>
                      <a:ext cx="5486400" cy="46888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6781131, E 402687 i SWEREF 99 TM.</w:t>
      </w:r>
    </w:p>
    <w:p>
      <w:r>
        <w:t>I avverkningsanmälan finns fynd av 15 naturvårdsarter, varav 10 är rödlistade, 7 är fridlysta, 11 är typiska (T) och 3 är signalarter (S): garnlav (VU, T), björktrast (NT, §4), rosenticka (NT, T), rynkskinn (NT, T), rödvingetrast (NT, §4), sädesärla (NT, §4), tretåig hackspett (NT, T, §4), ullticka (NT, T), vedtrappmossa (NT, T), violettgrå tagellav (NT, T), bronshjon (S, T), spindelblomster (S, T, §8), stuplav (S, T), gråsiska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Gråsiska (§4)</w:t>
      </w:r>
      <w:r>
        <w:t xml:space="preserve"> häckar i barr- och blandskog samt i fjällbjörkskog, stundom även i fjällregionens videbälte. Gråsiska är typisk art för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rosenticka (NT, T), rynkskinn (NT, T), tretåig hackspett (NT, T, §4), ullticka (NT, T), vedtrappmossa (NT, T), violettgrå tagellav (NT, T), bronshjon (S, T), spindelblomster (S, T, §8), stuplav (S, T) och gråsiska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