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26767-2026 i Malung-Sälens kommun</w:t>
      </w:r>
    </w:p>
    <w:p>
      <w:r>
        <w:t>Detta klagomål behandlar höga naturvärden i avverkningsanmälan A 26767-2026 i Malung-Sälens kommun som inkom 2026-06-11 och omfattar 10,9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26767-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6780307, E 407840 i SWEREF 99 TM.</w:t>
      </w:r>
    </w:p>
    <w:p>
      <w:r>
        <w:t>I och inom 24 meter från avverkningsanmälan finns fynd av 26 naturvårdsarter, varav 13 är rödlistade, 4 är fridlysta, 22 är typiska (T) och 7 är signalarter (S): citronporing (VU), garnlav (VU, T), gränsticka (VU, T), ulltickeporing (VU), doftskinn (NT, T), gullpudra (NT, T), rosenticka (NT, T), rynkskinn (NT, T), stjärntagging (NT, T), tretåig hackspett (NT, T, §4), ullticka (NT, T), vedtrappmossa (NT, T), vitgrynig nållav (NT), blodticka (S, T), bronshjon (S, T), spindelblomster (S, T, §8), stuplav (S, T), tibast (S, T), trådticka (S, T), vedticka (S, T), brudborste (T), kransmossa (T), ormbär (T), spillkråka (T, §4),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