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62103-2022 i Malung-Sälens kommun</w:t>
      </w:r>
    </w:p>
    <w:p>
      <w:r>
        <w:t>Detta dokument behandlar höga naturvärden i avverkningsanmälan A 62103-2022 i Malung-Sälens kommun. Denna avverkningsanmälan inkom 2022-12-25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luddig stiftdynlav (VU), gammelgransskål (NT), garnlav (NT), lunglav (NT), skrovellav (NT), tretåig hackspett (NT, §4), ullticka (NT), vitgrynig nållav (NT), korallblylav (S), skuggblåslav (S) och trådticka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5552"/>
            <wp:docPr id="1" name="Picture 1"/>
            <wp:cNvGraphicFramePr>
              <a:graphicFrameLocks noChangeAspect="1"/>
            </wp:cNvGraphicFramePr>
            <a:graphic>
              <a:graphicData uri="http://schemas.openxmlformats.org/drawingml/2006/picture">
                <pic:pic>
                  <pic:nvPicPr>
                    <pic:cNvPr id="0" name="A 62103-2022 karta.png"/>
                    <pic:cNvPicPr/>
                  </pic:nvPicPr>
                  <pic:blipFill>
                    <a:blip r:embed="rId16"/>
                    <a:stretch>
                      <a:fillRect/>
                    </a:stretch>
                  </pic:blipFill>
                  <pic:spPr>
                    <a:xfrm>
                      <a:off x="0" y="0"/>
                      <a:ext cx="5486400" cy="4165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6742043, E 398287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Luddig stiftdynlav (VU)</w:t>
      </w:r>
      <w:r>
        <w:t xml:space="preserve"> växer på granstubbar i gamla mer eller mindre rena brandrefugiala boreala granskogar med hög luftfuktighet. Arealminskningen av bördiga gamla granskogar är kraftig och detta måste ha gjort att även luddig stiftdynlav har gått tillbaka. Slutavverkningar på växtplatserna eller i dess närhet hotar arten, sannolikt på grund av förändringar till ett torrare mikroklimat. Alla lokaler för luddig stiftdynlav måste bevaras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