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402-2026 i Malung-Sälens kommun</w:t>
      </w:r>
    </w:p>
    <w:p>
      <w:r>
        <w:t>Detta klagomål behandlar höga naturvärden i samrådsanmälan S 402-2026 i Malung-Sälens kommun som inkom 2026-02-16 och omfattar 54,7 ha.</w:t>
      </w:r>
    </w:p>
    <w:p>
      <w:pPr>
        <w:pStyle w:val="Caption"/>
      </w:pPr>
      <w:r>
        <w:drawing>
          <wp:inline xmlns:a="http://schemas.openxmlformats.org/drawingml/2006/main" xmlns:pic="http://schemas.openxmlformats.org/drawingml/2006/picture">
            <wp:extent cx="5486400" cy="5023733"/>
            <wp:docPr id="1" name="Picture 1"/>
            <wp:cNvGraphicFramePr>
              <a:graphicFrameLocks noChangeAspect="1"/>
            </wp:cNvGraphicFramePr>
            <a:graphic>
              <a:graphicData uri="http://schemas.openxmlformats.org/drawingml/2006/picture">
                <pic:pic>
                  <pic:nvPicPr>
                    <pic:cNvPr id="0" name="S 402-2026 karta.png"/>
                    <pic:cNvPicPr/>
                  </pic:nvPicPr>
                  <pic:blipFill>
                    <a:blip r:embed="rId16"/>
                    <a:stretch>
                      <a:fillRect/>
                    </a:stretch>
                  </pic:blipFill>
                  <pic:spPr>
                    <a:xfrm>
                      <a:off x="0" y="0"/>
                      <a:ext cx="5486400" cy="5023733"/>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6675367, E 443805 i SWEREF 99 TM.</w:t>
      </w:r>
    </w:p>
    <w:p>
      <w:r>
        <w:t>I samrådsanmälan finns fynd av 12 naturvårdsarter, varav 10 är rödlistade, 7 är typiska (T) och 2 är signalarter (S): garnlav (VU, T), gropig skägglav (VU), smalfotad taggsvamp (VU), dropptaggsvamp (NT, T), kolflarnlav (NT, T), kortskaftad ärgspik (NT), mörk kolflarnlav (NT), tallticka (NT, T), vedskivlav (NT, T), vedtrappmossa (NT, T), gullgröppa (S) och mindre märgborre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Gropig skägglav (VU)</w:t>
      </w:r>
      <w:r>
        <w:t xml:space="preserve"> växer på träd i flera olika miljöer, både kulturmark som alléer och i gammal skog. Är sannolikt känslig för luftföroreningar liksom slutavverkning av gammal skog men orsaken till tillbakagången är delvis oklar. Minskningstakten har uppgått till 30 (20–40) % under de senaste 50 åren och överstiger gränsvärdet för sårbar (VU). Arten påverkas negativt av brist på kontinuitetsskog (SLU Artdatabanken, 2026).</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12 naturvårdsarter varav 10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