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50751-2025 i Malung-Sälens kommun</w:t>
      </w:r>
    </w:p>
    <w:p>
      <w:r>
        <w:t>Detta dokument behandlar höga naturvärden i avverkningsanmälan A 50751-2025 i Malung-Sälens kommun. Denna avverkningsanmälan inkom 2025-10-16 09:28:53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gränsticka (NT), spillkråka (NT, §4), tretåig hackspett (NT, §4), ullticka (NT), bronshjon (S), skuggblåslav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6620"/>
            <wp:docPr id="1" name="Picture 1"/>
            <wp:cNvGraphicFramePr>
              <a:graphicFrameLocks noChangeAspect="1"/>
            </wp:cNvGraphicFramePr>
            <a:graphic>
              <a:graphicData uri="http://schemas.openxmlformats.org/drawingml/2006/picture">
                <pic:pic>
                  <pic:nvPicPr>
                    <pic:cNvPr id="0" name="A 50751-2025 karta.png"/>
                    <pic:cNvPicPr/>
                  </pic:nvPicPr>
                  <pic:blipFill>
                    <a:blip r:embed="rId16"/>
                    <a:stretch>
                      <a:fillRect/>
                    </a:stretch>
                  </pic:blipFill>
                  <pic:spPr>
                    <a:xfrm>
                      <a:off x="0" y="0"/>
                      <a:ext cx="5486400" cy="3706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6780532, E 407763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