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9063-2025 i Malung-Sälens kommun</w:t>
      </w:r>
    </w:p>
    <w:p>
      <w:r>
        <w:t>Denna tillsynsbegäran behandlar höga naturvärden i avverkningsanmälan A 9063-2025 i Malung-Sälens kommun som inkom 2025-02-25 och omfattar 3,9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82728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06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272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6739126, E 403210 i SWEREF 99 TM.</w:t>
      </w:r>
    </w:p>
    <w:p>
      <w:r>
        <w:t>I avverkningsanmälan finns fynd av 1 naturvårdsarter, varav 1 är rödlistad och 1 är typisk (T): doftskinn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Doftskinn (NT)</w:t>
      </w:r>
      <w:r>
        <w:t xml:space="preserve">, rödlistad som nära hotad, är en mycket bra signalart för boreal granskog och indikerar ett gran-skogsekosystem med lång kontinuitet av grova lågor. Arten är placerad i toppen av Skogsstyrelsens värdepyramid för bedömning av skog med höga naturvärden och har klassats som en “urskogsindikator”, då den förekommer med ett tydligt optimum i helt eller nästan helt orörda skogar. Doftskinn är typisk art för </w:t>
      </w:r>
      <w:r>
        <w:rPr>
          <w:i/>
        </w:rPr>
        <w:t xml:space="preserve">9010 Taiga </w:t>
      </w:r>
      <w:r>
        <w:t>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