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27839-2026 i Malung-Sälens kommun</w:t>
      </w:r>
    </w:p>
    <w:p>
      <w:r>
        <w:t>Detta klagomål behandlar höga naturvärden i avverkningsanmälan A 27839-2026 i Malung-Sälens kommun som inkom 2026-06-18 och omfattar 12,0 ha.</w:t>
      </w:r>
    </w:p>
    <w:p>
      <w:pPr>
        <w:pStyle w:val="Caption"/>
      </w:pPr>
      <w:r>
        <w:drawing>
          <wp:inline xmlns:a="http://schemas.openxmlformats.org/drawingml/2006/main" xmlns:pic="http://schemas.openxmlformats.org/drawingml/2006/picture">
            <wp:extent cx="4254643" cy="5724000"/>
            <wp:docPr id="1" name="Picture 1"/>
            <wp:cNvGraphicFramePr>
              <a:graphicFrameLocks noChangeAspect="1"/>
            </wp:cNvGraphicFramePr>
            <a:graphic>
              <a:graphicData uri="http://schemas.openxmlformats.org/drawingml/2006/picture">
                <pic:pic>
                  <pic:nvPicPr>
                    <pic:cNvPr id="0" name="A 27839-2026 karta.png"/>
                    <pic:cNvPicPr/>
                  </pic:nvPicPr>
                  <pic:blipFill>
                    <a:blip r:embed="rId16"/>
                    <a:stretch>
                      <a:fillRect/>
                    </a:stretch>
                  </pic:blipFill>
                  <pic:spPr>
                    <a:xfrm>
                      <a:off x="0" y="0"/>
                      <a:ext cx="4254643"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6735853, E 425043 i SWEREF 99 TM.</w:t>
      </w:r>
    </w:p>
    <w:p>
      <w:r>
        <w:t>I och inom 13 meter från avverkningsanmälan finns fynd av 11 naturvårdsarter, varav 9 är rödlistade, 1 är fridlyst, 7 är typiska (T) och 2 är signalarter (S): garnlav (VU, T), blanksvart spiklav (NT), dropptaggsvamp (NT, T), dvärgbägarlav (NT, T), kortskaftad ärgspik (NT), mörk kolflarnlav (NT), talltita (NT, §4), vedskivlav (NT, T), violettgrå tagellav (NT, T), mindre märgborre (S,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