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21683-2026 i Malung-Sälens kommun</w:t>
      </w:r>
    </w:p>
    <w:p>
      <w:r>
        <w:t>Detta dokument behandlar höga naturvärden i avverkningsanmälan A 21683-2026 i Malung-Sälens kommun. Denna avverkningsanmälan inkom 2026-05-07 12:00:11 och omfattar 61,2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citronporing (CR), gräddporing (VU), norsk näverlav (VU), rynkskinn (VU), blanksvart spiklav (NT), blågrå svartspik (NT), dvärgbägarlav (NT), garnlav (NT), gransotdyna (NT), gränsticka (NT), hornvaxskinn (NT), kortskaftad ärgspik (NT), mörk kolflarnlav (NT), nordtagging (NT), skrovellav (NT), talltita (NT, §4), tretåig hackspett (NT, §4), vedflamlav (NT), vedskivlav (NT), vedtrappmossa (NT), violettgrå tagellav (NT), vitgrynig nållav (NT), bårdlav (S), luddlav (S), norrlandslav (S), nästlav (S), rävticka (S), skinnlav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6760452, E 403687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