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1387-2024 i Malung-Sälens kommun</w:t>
      </w:r>
    </w:p>
    <w:p>
      <w:r>
        <w:t>Detta klagomål behandlar höga naturvärden i samrådsanmälan S 1387-2024 i Malung-Sälens kommun som inkom 2024-04-29 och omfattar 165,9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S 1387-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6764316, E 387035 i SWEREF 99 TM.</w:t>
      </w:r>
    </w:p>
    <w:p>
      <w:r>
        <w:t>I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11949"/>
            <wp:docPr id="2" name="Picture 2"/>
            <wp:cNvGraphicFramePr>
              <a:graphicFrameLocks noChangeAspect="1"/>
            </wp:cNvGraphicFramePr>
            <a:graphic>
              <a:graphicData uri="http://schemas.openxmlformats.org/drawingml/2006/picture">
                <pic:pic>
                  <pic:nvPicPr>
                    <pic:cNvPr id="0" name="S 1387-2024 karta knärot.png"/>
                    <pic:cNvPicPr/>
                  </pic:nvPicPr>
                  <pic:blipFill>
                    <a:blip r:embed="rId17"/>
                    <a:stretch>
                      <a:fillRect/>
                    </a:stretch>
                  </pic:blipFill>
                  <pic:spPr>
                    <a:xfrm>
                      <a:off x="0" y="0"/>
                      <a:ext cx="5486400" cy="58119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6764316, E 387035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