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20433-2026 i Malung-Sälens kommun</w:t>
      </w:r>
    </w:p>
    <w:p>
      <w:r>
        <w:t>Detta klagomål behandlar höga naturvärden i avverkningsanmälan A 20433-2026 i Malung-Sälens kommun som inkom 2026-04-28 och omfattar 12,0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0433-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6758759, E 404786 i SWEREF 99 TM.</w:t>
      </w:r>
    </w:p>
    <w:p>
      <w:r>
        <w:t>I och inom 1 meter från avverkningsanmälan finns fynd av 17 naturvårdsarter, varav 14 är rödlistade, 1 är fridlyst, 11 är typiska (T) och 1 är signalart (S): garnlav (VU, T), gräddporing (VU, T), blanksvart spiklav (NT), blågrå svartspik (NT), dropptaggsvamp (NT, T), dvärgbägarlav (NT, T), kolflarnlav (NT, T), mörk kolflarnlav (NT), nordtagging (NT), orange taggsvamp (NT, T), skarp dropptaggsvamp (NT), vedflamlav (NT), vedskivlav (NT, T), violettgrå tagellav (NT, T), nästlav (S, T), fönsterlav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