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40704-2025 i Malung-Sälens kommun</w:t>
      </w:r>
    </w:p>
    <w:p>
      <w:r>
        <w:t>Detta klagomål behandlar höga naturvärden i avverkningsanmälan A 40704-2025 i Malung-Sälens kommun som inkom 2025-08-28 och omfattar 19,7 ha.</w:t>
      </w:r>
    </w:p>
    <w:p>
      <w:pPr>
        <w:pStyle w:val="Caption"/>
      </w:pPr>
      <w:r>
        <w:drawing>
          <wp:inline xmlns:a="http://schemas.openxmlformats.org/drawingml/2006/main" xmlns:pic="http://schemas.openxmlformats.org/drawingml/2006/picture">
            <wp:extent cx="5486400" cy="2394408"/>
            <wp:docPr id="1" name="Picture 1"/>
            <wp:cNvGraphicFramePr>
              <a:graphicFrameLocks noChangeAspect="1"/>
            </wp:cNvGraphicFramePr>
            <a:graphic>
              <a:graphicData uri="http://schemas.openxmlformats.org/drawingml/2006/picture">
                <pic:pic>
                  <pic:nvPicPr>
                    <pic:cNvPr id="0" name="A 40704-2025 karta.png"/>
                    <pic:cNvPicPr/>
                  </pic:nvPicPr>
                  <pic:blipFill>
                    <a:blip r:embed="rId16"/>
                    <a:stretch>
                      <a:fillRect/>
                    </a:stretch>
                  </pic:blipFill>
                  <pic:spPr>
                    <a:xfrm>
                      <a:off x="0" y="0"/>
                      <a:ext cx="5486400" cy="239440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6781796, E 411468 i SWEREF 99 TM.</w:t>
      </w:r>
    </w:p>
    <w:p>
      <w:r>
        <w:t>I och inom 24 meter från avverkningsanmälan finns fynd av 10 naturvårdsarter, varav 8 är rödlistade, 1 är fridlyst, 9 är typiska (T) och 1 är signalart (S): garnlav (VU, T), dropptaggsvamp (NT, T), kolflarnlav (NT, T), rynkskinn (NT, T), talltagel (NT, T), vedskivlav (NT, T), violettgrå tagellav (NT, T), vitgrynig nållav (NT),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