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samrådsanmälan S 3189-2022 i Malung-Sälens kommun</w:t>
      </w:r>
    </w:p>
    <w:p>
      <w:r>
        <w:t>Detta klagomål behandlar höga naturvärden i samrådsanmälan S 3189-2022 i Malung-Sälens kommun som inkom 2022-06-10 och omfattar 68,1 ha.</w:t>
      </w:r>
    </w:p>
    <w:p>
      <w:pPr>
        <w:pStyle w:val="Caption"/>
      </w:pPr>
      <w:r>
        <w:drawing>
          <wp:inline xmlns:a="http://schemas.openxmlformats.org/drawingml/2006/main" xmlns:pic="http://schemas.openxmlformats.org/drawingml/2006/picture">
            <wp:extent cx="4533959" cy="5724000"/>
            <wp:docPr id="1" name="Picture 1"/>
            <wp:cNvGraphicFramePr>
              <a:graphicFrameLocks noChangeAspect="1"/>
            </wp:cNvGraphicFramePr>
            <a:graphic>
              <a:graphicData uri="http://schemas.openxmlformats.org/drawingml/2006/picture">
                <pic:pic>
                  <pic:nvPicPr>
                    <pic:cNvPr id="0" name="S 3189-2022 karta.png"/>
                    <pic:cNvPicPr/>
                  </pic:nvPicPr>
                  <pic:blipFill>
                    <a:blip r:embed="rId16"/>
                    <a:stretch>
                      <a:fillRect/>
                    </a:stretch>
                  </pic:blipFill>
                  <pic:spPr>
                    <a:xfrm>
                      <a:off x="0" y="0"/>
                      <a:ext cx="4533959" cy="5724000"/>
                    </a:xfrm>
                    <a:prstGeom prst="rect"/>
                  </pic:spPr>
                </pic:pic>
              </a:graphicData>
            </a:graphic>
          </wp:inline>
        </w:drawing>
      </w:r>
    </w:p>
    <w:p>
      <w:pPr>
        <w:pStyle w:val="Caption"/>
        <w:spacing w:after="240"/>
      </w:pPr>
      <w:r>
        <w:t>Figur 1. Fyndplatser för naturvårdsarter i och inom 1 meter från samrådsanmälan. Markörer utan svart kant är placerade på fyndplatsen. Markörer med svart kant är placerade vid sidan av fyndplatsen och har ett svart streck som visar fyndplatsens exakta position. Kartans mittpunktskoordinat är N 6771512, E 391491 i SWEREF 99 TM.</w:t>
      </w:r>
    </w:p>
    <w:p>
      <w:r>
        <w:t>I och inom 1 meter från samrådsanmälan finns fynd av 5 naturvårdsarter, varav 5 är rödlistade och 4 är typiska (T): garnlav (VU, T), kolflarnlav (NT, T), vedflamlav (NT), vedskivlav (NT, T) och vedtrappmossa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samrådsanmälda skogen.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Vedflamlav (NT)</w:t>
      </w:r>
      <w:r>
        <w:t xml:space="preserve"> växer på gammal hård och torr, exponerad kärnved av tall, främst på högstubbar i ljusöppna lägen, t.ex. vid och på myrar, sjökanter, i glesa hällmarkskogar och i brandpräglade tallnaturskogar. Substratet nyskapas i begränsad omfattning och arten är en utmärkt indikator på höga naturvärden i denna skogstyp. Tall- och barrblandskogar med naturskogskaraktär och spår av bränder har ofta höga biologiska värden och bör skyddas. På vedflamlavens bål kan den sällsynta spiklaven/parasiten </w:t>
      </w:r>
      <w:r>
        <w:rPr>
          <w:i/>
        </w:rPr>
        <w:t>Calicium ramboldiicola</w:t>
      </w:r>
      <w:r>
        <w:t xml:space="preserve"> (VU) påträffas (SLU Artdatabanken, 2026).</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r>
        <w:rPr>
          <w:b/>
        </w:rPr>
        <w:t xml:space="preserve">Vedtrappmossa (NT) </w:t>
      </w:r>
      <w:r>
        <w:t xml:space="preserve">växer på död ved, främst i gammal granskog. Den förekommer knappast alls i fjällnära barrskogar utan finns i skogslandskapet nedom fjällen och framför allt i landets södra delar är den en mycket bra signalart för barrnaturskog med höga naturvärden. Skogsavverkning och brist på grov död ved i skogen är de allvarligaste hoten och den överlever inte kalhyggesbruk. Lokaler med sluten granskog, tillräckligt stora för att säkerställa ett kontinuerligt tillskott på grova lågor, bör undantas från storskaligt skogsbruk. Vedtrappmossa är typisk art för </w:t>
      </w:r>
      <w:r>
        <w:rPr>
          <w:i/>
        </w:rPr>
        <w:t>9010 Taiga</w:t>
      </w:r>
      <w:r>
        <w:t xml:space="preserve">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samrådsanmälda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samrådsanmälda skogsområdet har 5 naturvårdsarter varav 5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samrådsanmälda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2026-10-24</w:t>
      <w:br/>
      <w:br/>
    </w:r>
    <w:r>
      <w:t>Till: Allmännings- och besparingsskogar</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