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7383-2020 i Malung-Sälens kommun</w:t>
      </w:r>
    </w:p>
    <w:p>
      <w:r>
        <w:t>Detta dokument behandlar höga naturvärden i avverkningsanmälan A 7383-2020 i Malung-Sälens kommun. Denna avverkningsanmälan inkom 2020-02-07 och omfattar 54,7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21 naturvårdsarter hittats: grönfink (EN, §4), knärot (VU, §8), liten hornflikmossa (VU), björktrast (NT, §4), doftskinn (NT), garnlav (NT), granticka (NT), gränsticka (NT), järpe (NT, §4), Leptoporus mollis (NT), nordlig nållav (NT), sävsparv (NT, §4), ullticka (NT), vedtrappmossa (NT), violettgrå tagellav (NT), spindelblomster (S, §8), stuplav (S), vedticka (S), grönsiska (§4), kungsfågel (§4) och tjäder (§4). Av dessa är 15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19479"/>
            <wp:docPr id="1" name="Picture 1"/>
            <wp:cNvGraphicFramePr>
              <a:graphicFrameLocks noChangeAspect="1"/>
            </wp:cNvGraphicFramePr>
            <a:graphic>
              <a:graphicData uri="http://schemas.openxmlformats.org/drawingml/2006/picture">
                <pic:pic>
                  <pic:nvPicPr>
                    <pic:cNvPr id="0" name="A 7383-2020 karta.png"/>
                    <pic:cNvPicPr/>
                  </pic:nvPicPr>
                  <pic:blipFill>
                    <a:blip r:embed="rId16"/>
                    <a:stretch>
                      <a:fillRect/>
                    </a:stretch>
                  </pic:blipFill>
                  <pic:spPr>
                    <a:xfrm>
                      <a:off x="0" y="0"/>
                      <a:ext cx="5486400" cy="38194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6766218, E 411248 i SWEREF 99 TM.</w:t>
      </w:r>
    </w:p>
    <w:p>
      <w:pPr>
        <w:pStyle w:val="Heading1"/>
      </w:pPr>
      <w:r>
        <w:t>Fridlysta arter</w:t>
      </w:r>
    </w:p>
    <w:p>
      <w:r>
        <w:t>Följande fridlysta arter har sina livsmiljöer och växtplatser i den avverkningsanmälda skogen: grönfink (EN, §4), knärot (VU, §8), björktrast (NT, §4), järpe (NT, §4), sävsparv (NT, §4), spindelblomster (S, §8), grönsiska (§4), kungsfågel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rödlistad som nära hotad och prioriterad art i Skogsvårdslagen har häckningsrevir i avverkningsanmälan. Arten har minskat med 25 (10 - 40)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0.43 ha med buffertzonerna och får av detta skäl inte avverkas.</w:t>
      </w:r>
    </w:p>
    <w:p>
      <w:pPr>
        <w:pStyle w:val="Caption"/>
      </w:pPr>
      <w:r>
        <w:drawing>
          <wp:inline xmlns:a="http://schemas.openxmlformats.org/drawingml/2006/main" xmlns:pic="http://schemas.openxmlformats.org/drawingml/2006/picture">
            <wp:extent cx="5486400" cy="4485815"/>
            <wp:docPr id="2" name="Picture 2"/>
            <wp:cNvGraphicFramePr>
              <a:graphicFrameLocks noChangeAspect="1"/>
            </wp:cNvGraphicFramePr>
            <a:graphic>
              <a:graphicData uri="http://schemas.openxmlformats.org/drawingml/2006/picture">
                <pic:pic>
                  <pic:nvPicPr>
                    <pic:cNvPr id="0" name="A 7383-2020 karta knärot.png"/>
                    <pic:cNvPicPr/>
                  </pic:nvPicPr>
                  <pic:blipFill>
                    <a:blip r:embed="rId17"/>
                    <a:stretch>
                      <a:fillRect/>
                    </a:stretch>
                  </pic:blipFill>
                  <pic:spPr>
                    <a:xfrm>
                      <a:off x="0" y="0"/>
                      <a:ext cx="5486400" cy="4485815"/>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6766218, E 411248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(10 - 40) % under de senaste 12 åren, har sina livsmiljöer i tät barrskog med inblandning av lövträd och en väl utvecklad flerskiktad struktur med bärris och yngre eller undertryckta, täta granar i ett lägre skikt, ofta utmed bäckar och åar inne i den skyddande granskogen. 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Tjäder – ekologi samt krav på livsmiljön</w:t>
      </w:r>
    </w:p>
    <w:p>
      <w:r>
        <w:t xml:space="preserve">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