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som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gammelgransskål (NT, T) och kattfotslav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