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51675-2022 i Malung-Sälens kommun</w:t>
      </w:r>
    </w:p>
    <w:p>
      <w:r>
        <w:t>Detta klagomål behandlar höga naturvärden i avverkningsanmälan A 51675-2022 i Malung-Sälens kommun som inkom 2022-11-02 och omfattar 0,1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51675-2022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6782273, E 402202 i SWEREF 99 TM.</w:t>
      </w:r>
    </w:p>
    <w:p>
      <w:r>
        <w:t>Inom 21 meter från avverkningsanmälan finns fynd av 1 naturvårdsarter, varav 1 är rödlistad: rödfläckigt jordfly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Rödfläckigt jordfly (NT)</w:t>
      </w:r>
      <w:r>
        <w:t xml:space="preserve"> hör hemma i barrblandskogar, ofta i lite öppnare skogar på sandigare torrare jordar. Den har minskat kraftigt under framförallt 2000-talet. Minskningen är av allt att döma störst i den södra halvan av utbredningsområdet men den har avtagit även längre norrut. Det storskaliga trakthyggesbruket kan sannolikt förklara huvuddelen av artens minskningar. Det främsta hotet är kalhyggesbruk och den ökade fragmenteringen av artens kvarvarande habitat leder till alltmer isolerade förekomster. Det är viktigt att äldre barrskogar med lång kontinuitet bevaras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