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9064-2025 i Malung-Sälens kommun</w:t>
      </w:r>
    </w:p>
    <w:p>
      <w:r>
        <w:t>Detta klagomål behandlar höga naturvärden i avverkningsanmälan A 9064-2025 i Malung-Sälens kommun som inkom 2025-02-25 och omfattar 10,2 ha.</w:t>
      </w:r>
    </w:p>
    <w:p>
      <w:pPr>
        <w:pStyle w:val="Caption"/>
      </w:pPr>
      <w:r>
        <w:drawing>
          <wp:inline xmlns:a="http://schemas.openxmlformats.org/drawingml/2006/main" xmlns:pic="http://schemas.openxmlformats.org/drawingml/2006/picture">
            <wp:extent cx="5486400" cy="3925321"/>
            <wp:docPr id="1" name="Picture 1"/>
            <wp:cNvGraphicFramePr>
              <a:graphicFrameLocks noChangeAspect="1"/>
            </wp:cNvGraphicFramePr>
            <a:graphic>
              <a:graphicData uri="http://schemas.openxmlformats.org/drawingml/2006/picture">
                <pic:pic>
                  <pic:nvPicPr>
                    <pic:cNvPr id="0" name="A 9064-2025 karta.png"/>
                    <pic:cNvPicPr/>
                  </pic:nvPicPr>
                  <pic:blipFill>
                    <a:blip r:embed="rId16"/>
                    <a:stretch>
                      <a:fillRect/>
                    </a:stretch>
                  </pic:blipFill>
                  <pic:spPr>
                    <a:xfrm>
                      <a:off x="0" y="0"/>
                      <a:ext cx="5486400" cy="3925321"/>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6738847, E 399348 i SWEREF 99 TM.</w:t>
      </w:r>
    </w:p>
    <w:p>
      <w:r>
        <w:t>I avverkningsanmälan finns fynd av 3 naturvårdsarter, varav 3 är rödlistade och 3 är typiska (T): garnlav (VU, T), kolflarnlav (NT, T) och vedskivlav (NT, T).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Kolflarnlav (NT)</w:t>
      </w:r>
      <w:r>
        <w:t xml:space="preserve"> är brandberoende och växer nästan uteslutande på kolad hård kärnved av tall. Etableringen verkar ske först 100–300 år efter brand och nytt substrat nybildas i mycket begränsad omfattning. Avverkning av tallskog av naturskogskaraktär med spår av återkommande bränder är ett hot och mängden lämplig ved att växa på för arten minskar dels på grund av naturlig nedbrytning men framförallt på grund av att det förstörs i samband med slutavverkningar, gallringar och markberedning. Såväl kolflarnlav som mörk kolflarnlav har glänsande bålfjäll och förekommer främst i tall- och blandbarrskogar av naturskogskaraktär med spår av återkommande bränder. Skogar som dessa hyser höga biologiska värden och bör skyddas. Kolflarnlav är typisk art för </w:t>
      </w:r>
      <w:r>
        <w:rPr>
          <w:i/>
        </w:rPr>
        <w:t>9010 Taiga</w:t>
      </w:r>
      <w:r>
        <w:t xml:space="preserve"> (SLU Artdatabanken, 2024).</w:t>
      </w:r>
    </w:p>
    <w:p>
      <w:r>
        <w:rPr>
          <w:b/>
        </w:rPr>
        <w:t>Vedskivlav (NT)</w:t>
      </w:r>
      <w:r>
        <w:t xml:space="preserve"> växer på gammal, torr, exponerad, hård kärnved av framförallt tall i naturskogsartade bestånd. Avverkning av tallskog av naturskogskaraktär med spår av återkommande bränder är ett hot. Mängden lämplig ved att växa på för vedskivlav minskar, dels på grund av naturlig nedbrytning men framförallt på grund av att de förstörs i samband med slutavverkningar, gallringar och markberedning. Tall- och blandbarrskogar av naturskogskaraktär med spår av återkommande bränder bör skyddas. Vedskivlav är typisk art för </w:t>
      </w:r>
      <w:r>
        <w:rPr>
          <w:i/>
        </w:rPr>
        <w:t>9010 Taiga</w:t>
      </w:r>
      <w:r>
        <w:t xml:space="preserve">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3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2026-10-13</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