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1480-2026 i Malung-Sälens kommun</w:t>
      </w:r>
    </w:p>
    <w:p>
      <w:r>
        <w:t>Denna tillsynsbegäran behandlar höga naturvärden i avverkningsanmälan A 1480-2026 i Malung-Sälens kommun som inkom 2026-01-11 och omfattar 1,5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1480-2026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6712235, E 425194 i SWEREF 99 TM.</w:t>
      </w:r>
    </w:p>
    <w:p>
      <w:r>
        <w:t>I och inom 25 meter från avverkningsanmälan finns fynd av 20 naturvårdsarter, varav 14 är rödlistade, 3 är fridlysta, 13 är typiska (T) och 5 är signalarter (S): citronporing (VU), garnlav (VU, T), gränsticka (VU, T), rostskinn (VU), ulltickeporing (VU), brunpudrad nållav (NT, T), duvhök (NT, §4), gammelgransskål (NT, T), kortskaftad ärgspik (NT), kötticka (NT), rynkskinn (NT, T), skrovellav (NT, T), tretåig hackspett (NT, T, §4), ullticka (NT, T), bronshjon (S, T), bårdlav (S, T), gulnål (S, T), stuplav (S, T), vedticka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gammelgransskål (NT, T), rynkskinn (NT, T), skrovellav (NT, T), tretåig hackspett (NT, T, §4), ullticka (NT, T), bronshjon (S, T), bårdlav (S, T), gulnål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