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21950-2024 i Malung-Sälens kommun</w:t>
      </w:r>
    </w:p>
    <w:p>
      <w:r>
        <w:t>Denna tillsynsbegäran behandlar höga naturvärden i avverkningsanmälan A 21950-2024 i Malung-Sälens kommun som inkom 2024-05-31 och omfattar 2,3 ha.</w:t>
      </w:r>
    </w:p>
    <w:p>
      <w:pPr>
        <w:pStyle w:val="Caption"/>
      </w:pPr>
      <w:r>
        <w:drawing>
          <wp:inline xmlns:a="http://schemas.openxmlformats.org/drawingml/2006/main" xmlns:pic="http://schemas.openxmlformats.org/drawingml/2006/picture">
            <wp:extent cx="5486400" cy="4930219"/>
            <wp:docPr id="1" name="Picture 1"/>
            <wp:cNvGraphicFramePr>
              <a:graphicFrameLocks noChangeAspect="1"/>
            </wp:cNvGraphicFramePr>
            <a:graphic>
              <a:graphicData uri="http://schemas.openxmlformats.org/drawingml/2006/picture">
                <pic:pic>
                  <pic:nvPicPr>
                    <pic:cNvPr id="0" name="A 21950-2024 karta.png"/>
                    <pic:cNvPicPr/>
                  </pic:nvPicPr>
                  <pic:blipFill>
                    <a:blip r:embed="rId16"/>
                    <a:stretch>
                      <a:fillRect/>
                    </a:stretch>
                  </pic:blipFill>
                  <pic:spPr>
                    <a:xfrm>
                      <a:off x="0" y="0"/>
                      <a:ext cx="5486400" cy="4930219"/>
                    </a:xfrm>
                    <a:prstGeom prst="rect"/>
                  </pic:spPr>
                </pic:pic>
              </a:graphicData>
            </a:graphic>
          </wp:inline>
        </w:drawing>
      </w:r>
    </w:p>
    <w:p>
      <w:pPr>
        <w:pStyle w:val="Caption"/>
        <w:spacing w:after="240"/>
      </w:pPr>
      <w:r>
        <w:t>Figur 1. Fyndplatser för naturvårdsarter inom 24 meter från avverkningsanmälan. Markörer utan svart kant är placerade på fyndplatsen. Markörer med svart kant är placerade vid sidan av fyndplatsen och har ett svart streck som visar fyndplatsens exakta position. Kartans mittpunktskoordinat är N 6724443, E 407994 i SWEREF 99 TM.</w:t>
      </w:r>
    </w:p>
    <w:p>
      <w:r>
        <w:t>Inom 24 meter från avverkningsanmälan finns fynd av 3 naturvårdsarter, varav 1 är rödlistad, 3 är typiska (T) och 2 är signalarter (S): lunglav (NT, T), korallblylav (S, T) och stuplav (S, 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Lunglav (NT)</w:t>
      </w:r>
      <w:r>
        <w:t xml:space="preserve"> är en av vårt lands främsta signalarter som överallt indikerar gamla lövträd, skogsbestånd med höga naturvärden och ekosystem med långskoglig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På lunglav kan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påträffas. 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 Nitare &amp; Skogsstyrelsen, 2019).</w:t>
      </w:r>
    </w:p>
    <w:p>
      <w:r>
        <w:rPr>
          <w:b/>
        </w:rPr>
        <w:t>Korallblylav</w:t>
      </w:r>
      <w:r>
        <w:t xml:space="preserve"> växer på bark av asp, ask, rönn, sälg, bok och lönn och signalerar överallt skogsbestånd med höga naturvärden och den följs nästan alltid av andra ovanliga och rödlistade arter. Den indikerar hög och jämn luftfuktighet och växer främst i områden med lång skoglig kontinuitet där det funnits ett ständigt inslag av gamla lövträd. Korallblylav är typisk art för </w:t>
      </w:r>
      <w:r>
        <w:rPr>
          <w:i/>
        </w:rPr>
        <w:t xml:space="preserve">9020 Nordlig ädellövskog, 9070 Trädklädd betesmark, 9160 Näringsrik ekskog, 9180 Ädellövskog i branter </w:t>
      </w:r>
      <w:r>
        <w:t>och</w:t>
      </w:r>
      <w:r>
        <w:rPr>
          <w:i/>
        </w:rPr>
        <w:t xml:space="preserve"> 9190 Näringsfattig ekskog</w:t>
      </w:r>
      <w:r>
        <w:t xml:space="preserve"> (SLU Artdatabanken, 2024; Nitare &amp; Skogsstyrelsen, 2019).</w:t>
      </w:r>
    </w:p>
    <w:p>
      <w:r>
        <w:rPr>
          <w:b/>
        </w:rPr>
        <w:t>Stuplav</w:t>
      </w:r>
      <w:r>
        <w:t xml:space="preserve"> är en mycket bra signalart i hela sitt utbredningsområde och förekommer nästan enbart i skogsmiljöer med höga naturvärden. Den indikerar långvarig förekomst av gamla lövträd och miljöer med konstant hög luftfuktighet. I skogar med suboceaniskt klimat finns det en mycket sällsynt parasit, njurlavsknapp </w:t>
      </w:r>
      <w:r>
        <w:rPr>
          <w:i/>
        </w:rPr>
        <w:t>Pletocarpon nephromeum</w:t>
      </w:r>
      <w:r>
        <w:t xml:space="preserve"> (EN), som växer på stuplav. Ytterligare tre sällsynta lavparasiter, </w:t>
      </w:r>
      <w:r>
        <w:rPr>
          <w:i/>
        </w:rPr>
        <w:t>Protounguicularia nephromatis</w:t>
      </w:r>
      <w:r>
        <w:t xml:space="preserve"> (VU), </w:t>
      </w:r>
      <w:r>
        <w:rPr>
          <w:i/>
        </w:rPr>
        <w:t>Refractohilum galligenum</w:t>
      </w:r>
      <w:r>
        <w:t xml:space="preserve"> (NT) och </w:t>
      </w:r>
      <w:r>
        <w:rPr>
          <w:i/>
        </w:rPr>
        <w:t>Roselliniella nephromatis</w:t>
      </w:r>
      <w:r>
        <w:t xml:space="preserve"> (DD), kan också påträffas på stuplav. Stuplav är typisk art för </w:t>
      </w:r>
      <w:r>
        <w:rPr>
          <w:i/>
        </w:rPr>
        <w:t>9010 Taiga</w:t>
      </w:r>
      <w:r>
        <w:t xml:space="preserve"> (SLU Artdatabanken, 2026; Nitare &amp; Skogsstyrelsen, 2019).</w:t>
      </w:r>
    </w:p>
    <w:p>
      <w:r>
        <w:br w:type="page"/>
      </w:r>
    </w:p>
    <w:p>
      <w:pPr>
        <w:pStyle w:val="Title"/>
      </w:pPr>
      <w:r>
        <w:t>BILAGA 1 – Rödlistade arter</w:t>
      </w:r>
    </w:p>
    <w:p>
      <w:pPr>
        <w:pStyle w:val="Heading1"/>
      </w:pPr>
      <w:r>
        <w:t>Lunglav – ekologi samt krav på livsmiljön</w:t>
      </w:r>
    </w:p>
    <w:p>
      <w:r>
        <w:t xml:space="preserve">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däribland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som växer på lunglav. Rikliga förekomster med lunglav bör skyddas med biotopskydd, frivilliga avsättningar eller reservat (SLU Artdatabanken, 2026; Nitare &amp; Skogsstyrelsen, 2019).</w:t>
      </w:r>
    </w:p>
    <w:p>
      <w:r>
        <w:t xml:space="preserve">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2026-10-20</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