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30678-2026 i Malung-Sälens kommun</w:t>
      </w:r>
    </w:p>
    <w:p>
      <w:r>
        <w:t>Detta klagomål behandlar höga naturvärden i avverkningsanmälan A 30678-2026 i Malung-Sälens kommun som inkom 2026-07-02 och omfattar 42,0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0678-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6772500, E 376012 i SWEREF 99 TM.</w:t>
      </w:r>
    </w:p>
    <w:p>
      <w:r>
        <w:t>I och inom 25 meter från avverkningsanmälan finns fynd av 30 naturvårdsarter, varav 19 är rödlistade, 6 är fridlysta, 22 är typiska (T) och 8 är signalarter (S): garnlav (VU, T), knärot (VU, T, §8), blanksvart spiklav (NT), blågrå svartspik (NT), brunpudrad nållav (NT, T), dvärgbägarlav (NT, T), kolflarnlav (NT, T), kortskaftad ärgspik (NT), mörk kolflarnlav (NT), talltagel (NT, T), tallticka (NT, T), talltita (NT, §4), tretåig hackspett (NT, T, §4), ullticka (NT, T), varglav (NT, §8), vedskivlav (NT, T), vedtrappmossa (NT, T), violettgrå tagellav (NT, T), vitgrynig nållav (NT), bollvitmossa (S, T), flagellkvastmossa (S, T), gulnål (S, T), källpraktmossa (S, T), nästlav (S, T), tibast (S, T), vedticka (S, T), vågbandad barkbock (S), brudborste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6236494"/>
            <wp:docPr id="2" name="Picture 2"/>
            <wp:cNvGraphicFramePr>
              <a:graphicFrameLocks noChangeAspect="1"/>
            </wp:cNvGraphicFramePr>
            <a:graphic>
              <a:graphicData uri="http://schemas.openxmlformats.org/drawingml/2006/picture">
                <pic:pic>
                  <pic:nvPicPr>
                    <pic:cNvPr id="0" name="A 30678-2026 karta knärot.png"/>
                    <pic:cNvPicPr/>
                  </pic:nvPicPr>
                  <pic:blipFill>
                    <a:blip r:embed="rId17"/>
                    <a:stretch>
                      <a:fillRect/>
                    </a:stretch>
                  </pic:blipFill>
                  <pic:spPr>
                    <a:xfrm>
                      <a:off x="0" y="0"/>
                      <a:ext cx="5486400" cy="62364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6772500, E 376012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