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649-2026 i Malung-Sälens kommun</w:t>
      </w:r>
    </w:p>
    <w:p>
      <w:r>
        <w:t>Denna tillsynsbegäran behandlar höga naturvärden i samrådsanmälan S 649-2026 i Malung-Sälens kommun som inkom 2026-03-08 och omfattar 396,9 ha.</w:t>
      </w:r>
    </w:p>
    <w:p>
      <w:pPr>
        <w:pStyle w:val="Caption"/>
      </w:pPr>
      <w:r>
        <w:drawing>
          <wp:inline xmlns:a="http://schemas.openxmlformats.org/drawingml/2006/main" xmlns:pic="http://schemas.openxmlformats.org/drawingml/2006/picture">
            <wp:extent cx="4215303" cy="5724000"/>
            <wp:docPr id="1" name="Picture 1"/>
            <wp:cNvGraphicFramePr>
              <a:graphicFrameLocks noChangeAspect="1"/>
            </wp:cNvGraphicFramePr>
            <a:graphic>
              <a:graphicData uri="http://schemas.openxmlformats.org/drawingml/2006/picture">
                <pic:pic>
                  <pic:nvPicPr>
                    <pic:cNvPr id="0" name="S 649-2026 karta.png"/>
                    <pic:cNvPicPr/>
                  </pic:nvPicPr>
                  <pic:blipFill>
                    <a:blip r:embed="rId16"/>
                    <a:stretch>
                      <a:fillRect/>
                    </a:stretch>
                  </pic:blipFill>
                  <pic:spPr>
                    <a:xfrm>
                      <a:off x="0" y="0"/>
                      <a:ext cx="4215303"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6755798, E 417322 i SWEREF 99 TM.</w:t>
      </w:r>
    </w:p>
    <w:p>
      <w:r>
        <w:t>I och inom 21 meter från samrådsanmälan finns fynd av 10 naturvårdsarter, varav 6 är rödlistade, 3 är fridlysta, 6 är typiska (T) och 3 är signalarter (S): rotfingersvamp (VU), skrovlig taggsvamp (VU), dropptaggsvamp (NT, T), motaggsvamp (NT, T), talltita (NT, §4), älg (NT), kambräken (S, T), plattlummer (S, T, §9),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dropptaggsvamp (NT, T), motaggsvamp (NT, T), kambräken (S, T), plattlummer (S, T, §9),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