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25030-2026 i Malung-Sälens kommun</w:t>
      </w:r>
    </w:p>
    <w:p>
      <w:r>
        <w:t>Detta klagomål behandlar höga naturvärden i avverkningsanmälan A 25030-2026 i Malung-Sälens kommun som inkom 2026-06-01 och omfattar 11,1 ha.</w:t>
      </w:r>
    </w:p>
    <w:p>
      <w:pPr>
        <w:pStyle w:val="Caption"/>
      </w:pPr>
      <w:r>
        <w:drawing>
          <wp:inline xmlns:a="http://schemas.openxmlformats.org/drawingml/2006/main" xmlns:pic="http://schemas.openxmlformats.org/drawingml/2006/picture">
            <wp:extent cx="5107893" cy="5724000"/>
            <wp:docPr id="1" name="Picture 1"/>
            <wp:cNvGraphicFramePr>
              <a:graphicFrameLocks noChangeAspect="1"/>
            </wp:cNvGraphicFramePr>
            <a:graphic>
              <a:graphicData uri="http://schemas.openxmlformats.org/drawingml/2006/picture">
                <pic:pic>
                  <pic:nvPicPr>
                    <pic:cNvPr id="0" name="A 25030-2026 karta.png"/>
                    <pic:cNvPicPr/>
                  </pic:nvPicPr>
                  <pic:blipFill>
                    <a:blip r:embed="rId16"/>
                    <a:stretch>
                      <a:fillRect/>
                    </a:stretch>
                  </pic:blipFill>
                  <pic:spPr>
                    <a:xfrm>
                      <a:off x="0" y="0"/>
                      <a:ext cx="510789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6804371, E 397883 i SWEREF 99 TM.</w:t>
      </w:r>
    </w:p>
    <w:p>
      <w:r>
        <w:t>I och inom 21 meter från avverkningsanmälan finns fynd av 27 naturvårdsarter, varav 18 är rödlistade, 7 är fridlysta, 15 är typiska (T) och 5 är signalarter (S): urskogsticka (EN), garnlav (VU, T), gräddporing (VU, T), knärot (VU, T, §8), blanksvart spiklav (NT), blågrå svartspik (NT), dropptaggsvamp (NT, T), kolflarnlav (NT, T), kortskaftad ärgspik (NT), lunglav (NT, T), mörk kolflarnlav (NT), nordtagging (NT), tallticka (NT, T), talltita (NT, §4), vedflamlav (NT), vedskivlav (NT, T), violettgrå tagellav (NT, T), vitgrynig nållav (NT), bronshjon (S, T), bårdlav (S, T), grönpyrola (S, T), nästlav (S, T), spindelblomster (S, T, §8), spillkråka (T,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654197"/>
            <wp:docPr id="2" name="Picture 2"/>
            <wp:cNvGraphicFramePr>
              <a:graphicFrameLocks noChangeAspect="1"/>
            </wp:cNvGraphicFramePr>
            <a:graphic>
              <a:graphicData uri="http://schemas.openxmlformats.org/drawingml/2006/picture">
                <pic:pic>
                  <pic:nvPicPr>
                    <pic:cNvPr id="0" name="A 25030-2026 karta knärot.png"/>
                    <pic:cNvPicPr/>
                  </pic:nvPicPr>
                  <pic:blipFill>
                    <a:blip r:embed="rId17"/>
                    <a:stretch>
                      <a:fillRect/>
                    </a:stretch>
                  </pic:blipFill>
                  <pic:spPr>
                    <a:xfrm>
                      <a:off x="0" y="0"/>
                      <a:ext cx="5486400" cy="56541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6804371, E 397883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