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1481-2026 i Malung-Sälens kommun</w:t>
      </w:r>
    </w:p>
    <w:p>
      <w:r>
        <w:t>Detta klagomål behandlar höga naturvärden i avverkningsanmälan A 1481-2026 i Malung-Sälens kommun som inkom 2026-01-11 och omfattar 16,5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A 1481-2026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6712366, E 424780 i SWEREF 99 TM.</w:t>
      </w:r>
    </w:p>
    <w:p>
      <w:r>
        <w:t>I och inom 24 meter från avverkningsanmälan finns fynd av 26 naturvårdsarter, varav 17 är rödlistade, 2 är fridlysta, 20 är typiska (T) och 8 är signalarter (S): garnlav (VU, T), brunpudrad nållav (NT, T), doftskinn (NT, T), gammelgransskål (NT, T), gransotdyna (NT), kolflarnlav (NT, T), kortskaftad ärgspik (NT), liten svartspik (NT), lunglav (NT, T), mörk kolflarnlav (NT), rynkskinn (NT, T), skrovellav (NT, T), skuggblåslav (NT, T), stjärntagging (NT, T), tallticka (NT, T), tretåig hackspett (NT, T, §4), vitgrynig nållav (NT), gullgröppa (S), korallblylav (S, T), kornig nållav (S, T), nästlav (S, T), rostfläck (S, T), stuplav (S, T), trådticka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