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57829-2023 i Malung-Sälens kommun</w:t>
      </w:r>
    </w:p>
    <w:p>
      <w:r>
        <w:t>Detta klagomål behandlar höga naturvärden i avverkningsanmälan A 57829-2023 i Malung-Sälens kommun som inkom 2023-11-17 och omfattar 1,5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57829-2023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6715093, E 437874 i SWEREF 99 TM.</w:t>
      </w:r>
    </w:p>
    <w:p>
      <w:r>
        <w:t>Inom 22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8806081"/>
            <wp:docPr id="2" name="Picture 2"/>
            <wp:cNvGraphicFramePr>
              <a:graphicFrameLocks noChangeAspect="1"/>
            </wp:cNvGraphicFramePr>
            <a:graphic>
              <a:graphicData uri="http://schemas.openxmlformats.org/drawingml/2006/picture">
                <pic:pic>
                  <pic:nvPicPr>
                    <pic:cNvPr id="0" name="A 57829-2023 karta knärot.png"/>
                    <pic:cNvPicPr/>
                  </pic:nvPicPr>
                  <pic:blipFill>
                    <a:blip r:embed="rId17"/>
                    <a:stretch>
                      <a:fillRect/>
                    </a:stretch>
                  </pic:blipFill>
                  <pic:spPr>
                    <a:xfrm>
                      <a:off x="0" y="0"/>
                      <a:ext cx="5486400" cy="8806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6715093, E 437874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