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31954-2024 i Malung-Sälens kommun</w:t>
      </w:r>
    </w:p>
    <w:p>
      <w:r>
        <w:t>Denna tillsynsbegäran behandlar höga naturvärden i avverkningsanmälan A 31954-2024 i Malung-Sälens kommun som inkom 2024-08-06 och omfattar 1,1 ha.</w:t>
      </w:r>
    </w:p>
    <w:p>
      <w:pPr>
        <w:pStyle w:val="Caption"/>
      </w:pPr>
      <w:r>
        <w:drawing>
          <wp:inline xmlns:a="http://schemas.openxmlformats.org/drawingml/2006/main" xmlns:pic="http://schemas.openxmlformats.org/drawingml/2006/picture">
            <wp:extent cx="5299663" cy="5724000"/>
            <wp:docPr id="1" name="Picture 1"/>
            <wp:cNvGraphicFramePr>
              <a:graphicFrameLocks noChangeAspect="1"/>
            </wp:cNvGraphicFramePr>
            <a:graphic>
              <a:graphicData uri="http://schemas.openxmlformats.org/drawingml/2006/picture">
                <pic:pic>
                  <pic:nvPicPr>
                    <pic:cNvPr id="0" name="A 31954-2024 karta.png"/>
                    <pic:cNvPicPr/>
                  </pic:nvPicPr>
                  <pic:blipFill>
                    <a:blip r:embed="rId16"/>
                    <a:stretch>
                      <a:fillRect/>
                    </a:stretch>
                  </pic:blipFill>
                  <pic:spPr>
                    <a:xfrm>
                      <a:off x="0" y="0"/>
                      <a:ext cx="5299663"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6734232, E 433886 i SWEREF 99 TM.</w:t>
      </w:r>
    </w:p>
    <w:p>
      <w:r>
        <w:t>Inom 24 meter från avverkningsanmälan finns fynd av 7 naturvårdsarter, varav 4 är rödlistade, 1 är fridlyst, 1 är typisk (T) och 3 är signalarter (S): topplåsbräken (VU, §8), vridfingersvamp (VU), grantaggsvamp (NT), praktvaxing (NT), sotlav (S, T), vitvaxing agg. (S) och ängsvaxing agg.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Praktvaxing (NT) </w:t>
      </w:r>
      <w:r>
        <w:t>växer i hedartad, sur och mager gräsmark med stagg och ljungtuvor på betad mark med lång historia av hävd, ofta bland mossa. De allra flesta fynden i såväl Sverige som i Norge är från öppna marker och bara ett fåtal från betade skogar. Praktvaxing ingår i ett åtgärdsprogram för hotade arter (ÅGP) och är globalt rödlistad som sårbar (VU) vilket innebär att Sverige har ett internationellt ansvar för arten (SLU Artdatabanken, 2024; IUCN, 2019; Jordal, 2011).</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