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402-2026 i Malung-Sälens kommun</w:t>
      </w:r>
    </w:p>
    <w:p>
      <w:r>
        <w:t>Denna tillsynsbegäran behandlar höga naturvärden i samrådsanmälan S 402-2026 i Malung-Sälens kommun som inkom 2026-02-16 och omfattar 54,7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S 402-2026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6675367, E 443805 i SWEREF 99 TM.</w:t>
      </w:r>
    </w:p>
    <w:p>
      <w:r>
        <w:t>I samrådsanmälan finns fynd av 12 naturvårdsarter, varav 10 är rödlistade, 7 är typiska (T) och 2 är signalarter (S): garnlav (VU, T), gropig skägglav (VU), smalfotad taggsvamp (VU), dropptaggsvamp (NT, T), kolflarnlav (NT, T), kortskaftad ärgspik (NT), mörk kolflarnlav (NT), tallticka (NT, T), vedskivlav (NT, T), vedtrappmossa (NT, T), gullgröppa (S)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dropptaggsvamp (NT, T), kolflarnlav (NT, T), tallticka (NT, T), vedskivlav (NT, T), vedtrappmossa (NT,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