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10323-2026 i Gagnefs kommun</w:t>
      </w:r>
    </w:p>
    <w:p>
      <w:r>
        <w:t>Detta dokument behandlar höga naturvärden i avverkningsanmälan A 10323-2026 i Gagnefs kommun. Denna avverkningsanmälan inkom 2026-02-23 15:47:38 och omfattar 5,9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 naturvårdsarter hittats: knärot (VU, §8), rynkskinn (VU), rosenticka (NT), tretåig hackspett (NT, §4) och ullticka (NT). Av dessa är 5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00650"/>
            <wp:docPr id="1" name="Picture 1"/>
            <wp:cNvGraphicFramePr>
              <a:graphicFrameLocks noChangeAspect="1"/>
            </wp:cNvGraphicFramePr>
            <a:graphic>
              <a:graphicData uri="http://schemas.openxmlformats.org/drawingml/2006/picture">
                <pic:pic>
                  <pic:nvPicPr>
                    <pic:cNvPr id="0" name="A 10323-2026 karta.png"/>
                    <pic:cNvPicPr/>
                  </pic:nvPicPr>
                  <pic:blipFill>
                    <a:blip r:embed="rId16"/>
                    <a:stretch>
                      <a:fillRect/>
                    </a:stretch>
                  </pic:blipFill>
                  <pic:spPr>
                    <a:xfrm>
                      <a:off x="0" y="0"/>
                      <a:ext cx="5486400" cy="320065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6713530, E 509055 i SWEREF 99 TM.</w:t>
      </w:r>
    </w:p>
    <w:p>
      <w:r>
        <w:rPr>
          <w:b/>
        </w:rPr>
        <w:t>Rosenticka (NT)</w:t>
      </w:r>
      <w:r>
        <w:t xml:space="preserve">,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Rosenticka är typisk art för </w:t>
      </w:r>
      <w:r>
        <w:rPr>
          <w:i/>
        </w:rPr>
        <w:t xml:space="preserve">9010 Taiga </w:t>
      </w:r>
      <w:r>
        <w:t xml:space="preserve">och </w:t>
      </w:r>
      <w:r>
        <w:rPr>
          <w:i/>
        </w:rPr>
        <w:t>9050 Näringsrik granskog</w:t>
      </w:r>
      <w:r>
        <w:t xml:space="preserve"> (Nitare &amp; Skogsstyrelsen, 2019; SLU Artdatabanken, 2024).</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de tre olika arterna ulltickeporing </w:t>
      </w:r>
      <w:r>
        <w:rPr>
          <w:i/>
        </w:rPr>
        <w:t xml:space="preserve">Skeletocutis brevispora </w:t>
      </w:r>
      <w:r>
        <w:t>(VU)</w:t>
      </w:r>
      <w:r>
        <w:rPr>
          <w:i/>
        </w:rPr>
        <w:t>, Skeletocutis delicata</w:t>
      </w:r>
      <w:r>
        <w:t xml:space="preserve"> (VU)</w:t>
      </w:r>
      <w:r>
        <w:rPr>
          <w:i/>
        </w:rPr>
        <w:t xml:space="preserve"> och Skeletocutis exilis</w:t>
      </w:r>
      <w:r>
        <w:t xml:space="preserve"> (NT). Ullticka är typisk art för </w:t>
      </w:r>
      <w:r>
        <w:rPr>
          <w:i/>
        </w:rPr>
        <w:t xml:space="preserve">9010 Taiga, 9050 Näringsrik granskog </w:t>
      </w:r>
      <w:r>
        <w:t xml:space="preserve">och </w:t>
      </w:r>
      <w:r>
        <w:rPr>
          <w:i/>
        </w:rPr>
        <w:t>9030 Landhöjningsskog</w:t>
      </w:r>
      <w:r>
        <w:t xml:space="preserve"> (SLU Artdatabanken, 2026; Nitare &amp; Skogsstyrelsen, 2019; Miettinen &amp; Niemelä, 2018).</w:t>
      </w:r>
    </w:p>
    <w:p>
      <w:pPr>
        <w:pStyle w:val="Heading1"/>
      </w:pPr>
      <w:r>
        <w:t>Fridlysta arter</w:t>
      </w:r>
    </w:p>
    <w:p>
      <w:r>
        <w:t>Följande fridlysta arter har sina livsmiljöer och växtplatser i den avverkningsanmälda skogen: knärot (VU, §8)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2 fyndplatser för knärot registrerade på Artportalen. Figur 2 visar gränserna för buffertzoner på 50 m, som behöver lämnas kring fyndplatserna för att knärotslokalerna inte ska försvinna vid en avverkning. Av det avverkningsanmälda området överlappar 0.48 ha med buffertzonerna och får av detta skäl inte avverkas.</w:t>
      </w:r>
    </w:p>
    <w:p>
      <w:pPr>
        <w:pStyle w:val="Caption"/>
      </w:pPr>
      <w:r>
        <w:drawing>
          <wp:inline xmlns:a="http://schemas.openxmlformats.org/drawingml/2006/main" xmlns:pic="http://schemas.openxmlformats.org/drawingml/2006/picture">
            <wp:extent cx="5486400" cy="3673283"/>
            <wp:docPr id="2" name="Picture 2"/>
            <wp:cNvGraphicFramePr>
              <a:graphicFrameLocks noChangeAspect="1"/>
            </wp:cNvGraphicFramePr>
            <a:graphic>
              <a:graphicData uri="http://schemas.openxmlformats.org/drawingml/2006/picture">
                <pic:pic>
                  <pic:nvPicPr>
                    <pic:cNvPr id="0" name="A 10323-2026 karta knärot.png"/>
                    <pic:cNvPicPr/>
                  </pic:nvPicPr>
                  <pic:blipFill>
                    <a:blip r:embed="rId17"/>
                    <a:stretch>
                      <a:fillRect/>
                    </a:stretch>
                  </pic:blipFill>
                  <pic:spPr>
                    <a:xfrm>
                      <a:off x="0" y="0"/>
                      <a:ext cx="5486400" cy="367328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6713530, E 509055 i SWEREF 99 TM.</w:t>
      </w:r>
    </w:p>
    <w:p>
      <w:pPr>
        <w:pStyle w:val="Caption"/>
      </w:pP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Tretåig hackspett är typisk art för </w:t>
      </w:r>
      <w:r>
        <w:rPr>
          <w:i/>
        </w:rPr>
        <w:t xml:space="preserve">9010 Taiga, 9740 Skogsbevuxen myr, 9030 Landhöjningsskog </w:t>
      </w:r>
      <w:r>
        <w:t xml:space="preserve">och </w:t>
      </w:r>
      <w:r>
        <w:rPr>
          <w:i/>
        </w:rPr>
        <w:t>9040 Fjällbjörkskog</w:t>
      </w:r>
      <w:r>
        <w:t xml:space="preserve"> (Skogsstyrelsen, 2016; SLU Artdatabanken, 2024).</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 naturvårdsarter varav 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r>
        <w:t xml:space="preserve"> (SLU Artdatabanken, 2024; Skogsstyrelsen, 2016)</w:t>
      </w:r>
      <w:r>
        <w:rPr>
          <w:i/>
        </w:rPr>
        <w: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(SLU Artdatabanken, 2024; Skogsstyrelsen, 2016).</w:t>
      </w:r>
    </w:p>
    <w:p>
      <w:r>
        <w:t xml:space="preserve">Förutom fridlysning enligt §4 Artskyddsförordningen är tretåig hackspett även förtecknad i EU:s fågeldirektiv bilaga 1. Den är typisk art för </w:t>
      </w:r>
      <w:r>
        <w:rPr>
          <w:i/>
        </w:rPr>
        <w:t xml:space="preserve">9010 Taiga, 9740 Skogsbevuxen myr, 9030 Landhöjningsskog </w:t>
      </w:r>
      <w:r>
        <w:t xml:space="preserve">och </w:t>
      </w:r>
      <w:r>
        <w:rPr>
          <w:i/>
        </w:rPr>
        <w:t>9040 Fjällbjörkskog</w:t>
      </w:r>
      <w:r>
        <w:t xml:space="preserve"> samt ingår i Natura 2000 och är förtecknad i Bernkonventionen bilaga II (strikt skyddade djurarter) (SLU Artdatabanken, 2024; Skogsstyrelsen, 2016).</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Vägledning för hänsyn till fåglar – Tretåig hackspett.</w:t>
      </w:r>
    </w:p>
    <w:p>
      <w:r>
        <w:t xml:space="preserve">SLU Artdatabanken, 2024. </w:t>
      </w:r>
      <w:r>
        <w:rPr>
          <w:i/>
        </w:rPr>
        <w:t xml:space="preserve">Artfaktablad. Naturvård – artfakta. </w:t>
      </w:r>
      <w:r>
        <w:t>SLU Artdatabanken, Uppsala.</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2026-04-23</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