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51820-2025 i Gagnefs kommun</w:t>
      </w:r>
    </w:p>
    <w:p>
      <w:r>
        <w:t>Denna tillsynsbegäran behandlar höga naturvärden i avverkningsanmälan A 51820-2025 i Gagnefs kommun som inkom 2025-10-21 och omfattar 17,0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51820-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6719124, E 509628 i SWEREF 99 TM.</w:t>
      </w:r>
    </w:p>
    <w:p>
      <w:r>
        <w:t>I och inom 25 meter från avverkningsanmälan finns fynd av 34 naturvårdsarter, varav 19 är rödlistade, 11 är fridlysta, 25 är typiska (T) och 10 är signalarter (S): blackticka (VU), garnlav (VU, T), knärot (VU, T, §8), lappuggla (VU, §4), doftskinn (NT, T), dropptaggsvamp (NT, T), kortskaftad ärgspik (NT), lunglav (NT, T), motaggsvamp (NT, T), rosenticka (NT, T), rynkskinn (NT, T), stjärntagging (NT, T), svart taggsvamp (NT), talltita (NT, §4), tretåig hackspett (NT, T, §4), ullticka (NT, T), vedtrappmossa (NT, T), violettgrå tagellav (NT, T), vitplätt (NT), brandticka (S), bronshjon (S, T), korallblylav (S, T), korallrot (S, T, §8), mindre märgborre (S, T), nästlav (S, T), rävticka (S, T), spindelblomster (S, T, §8), trådticka (S, T), vedticka (S, T), järpe (T, §4), spillkråka (T, §4), tjäder (T, §4), slaguggla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3.84 ha med buffertzonerna och får av detta skäl inte avverkas.</w:t>
      </w:r>
    </w:p>
    <w:p>
      <w:pPr>
        <w:pStyle w:val="Caption"/>
      </w:pPr>
      <w:r>
        <w:drawing>
          <wp:inline xmlns:a="http://schemas.openxmlformats.org/drawingml/2006/main" xmlns:pic="http://schemas.openxmlformats.org/drawingml/2006/picture">
            <wp:extent cx="5486400" cy="4769963"/>
            <wp:docPr id="2" name="Picture 2"/>
            <wp:cNvGraphicFramePr>
              <a:graphicFrameLocks noChangeAspect="1"/>
            </wp:cNvGraphicFramePr>
            <a:graphic>
              <a:graphicData uri="http://schemas.openxmlformats.org/drawingml/2006/picture">
                <pic:pic>
                  <pic:nvPicPr>
                    <pic:cNvPr id="0" name="A 51820-2025 karta knärot.png"/>
                    <pic:cNvPicPr/>
                  </pic:nvPicPr>
                  <pic:blipFill>
                    <a:blip r:embed="rId17"/>
                    <a:stretch>
                      <a:fillRect/>
                    </a:stretch>
                  </pic:blipFill>
                  <pic:spPr>
                    <a:xfrm>
                      <a:off x="0" y="0"/>
                      <a:ext cx="5486400" cy="47699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6719124, E 509628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dropptaggsvamp (NT, T), lunglav (NT, T), motaggsvamp (NT, T), rosenticka (NT, T), rynkskinn (NT, T), stjärntagging (NT, T), tretåig hackspett (NT, T, §4), ullticka (NT, T), vedtrappmossa (NT, T), violettgrå tagellav (NT, T), bronshjon (S, T), korallblylav (S, T), korallrot (S, T, §8), mindre märgborre (S, T), nästlav (S, T), rävticka (S, T), spindelblomster (S, T, §8), trådticka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