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1898-2025 i Leksands kommun</w:t>
      </w:r>
    </w:p>
    <w:p>
      <w:r>
        <w:t>Detta klagomål behandlar höga naturvärden i samrådsanmälan S 1898-2025 i Leksands kommun som inkom 2025-06-17 och omfattar 20,3 ha.</w:t>
      </w:r>
    </w:p>
    <w:p>
      <w:pPr>
        <w:pStyle w:val="Caption"/>
      </w:pPr>
      <w:r>
        <w:drawing>
          <wp:inline xmlns:a="http://schemas.openxmlformats.org/drawingml/2006/main" xmlns:pic="http://schemas.openxmlformats.org/drawingml/2006/picture">
            <wp:extent cx="5486400" cy="4038705"/>
            <wp:docPr id="1" name="Picture 1"/>
            <wp:cNvGraphicFramePr>
              <a:graphicFrameLocks noChangeAspect="1"/>
            </wp:cNvGraphicFramePr>
            <a:graphic>
              <a:graphicData uri="http://schemas.openxmlformats.org/drawingml/2006/picture">
                <pic:pic>
                  <pic:nvPicPr>
                    <pic:cNvPr id="0" name="S 1898-2025 karta.png"/>
                    <pic:cNvPicPr/>
                  </pic:nvPicPr>
                  <pic:blipFill>
                    <a:blip r:embed="rId16"/>
                    <a:stretch>
                      <a:fillRect/>
                    </a:stretch>
                  </pic:blipFill>
                  <pic:spPr>
                    <a:xfrm>
                      <a:off x="0" y="0"/>
                      <a:ext cx="5486400" cy="403870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6733370, E 511609 i SWEREF 99 TM.</w:t>
      </w:r>
    </w:p>
    <w:p>
      <w:r>
        <w:t>I och inom 25 meter från samrådsanmälan finns fynd av 44 naturvårdsarter, varav 21 är rödlistade, 18 är fridlysta, 23 är typiska (T) och 10 är signalarter (S): garnlav (VU, T), gräddticka (VU), gränsticka (VU, T), knärot (VU, T, §8), tornseglare (VU, §4), ulltickeporing (VU), doftskinn (NT, T), dropptaggsvamp (NT, T), dvärgbägarlav (NT, T), grönhjon (NT), kattfotslav (NT, T), kötticka (NT), motaggsvamp (NT, T), rosenticka (NT, T), rynkskinn (NT, T), rödvingetrast (NT, §4), skogshare (NT), talltita (NT, §4), tretåig hackspett (NT, T, §4), ullticka (NT, T), violettgrå tagellav (NT, T), bronshjon (S, T), mindre märgborre (S, T), rödgul trumpetsvamp (S), sotriska (S), stuplav (S, T), svavelriska (S), thomsons trägnagare (S), trådticka (S, T), vedticka (S, T), vågbandad barkbock (S), blåsippa (T, §9), gråspett (T, §4), järpe (T, §4), spillkråka (T, §4), tjäder (T, §4), fiskgjuse (§4), grönsiska (§4), kungsfågel (§4), trana (§4), vanlig groda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3519969"/>
            <wp:docPr id="2" name="Picture 2"/>
            <wp:cNvGraphicFramePr>
              <a:graphicFrameLocks noChangeAspect="1"/>
            </wp:cNvGraphicFramePr>
            <a:graphic>
              <a:graphicData uri="http://schemas.openxmlformats.org/drawingml/2006/picture">
                <pic:pic>
                  <pic:nvPicPr>
                    <pic:cNvPr id="0" name="S 1898-2025 karta knärot.png"/>
                    <pic:cNvPicPr/>
                  </pic:nvPicPr>
                  <pic:blipFill>
                    <a:blip r:embed="rId17"/>
                    <a:stretch>
                      <a:fillRect/>
                    </a:stretch>
                  </pic:blipFill>
                  <pic:spPr>
                    <a:xfrm>
                      <a:off x="0" y="0"/>
                      <a:ext cx="5486400" cy="35199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6733370, E 511609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44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