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 och inom 23 meter från avverkningsanmälan finns fynd av 5 naturvårdsarter, varav 2 är rödlistade, 1 är fridlyst, 1 är typisk (T) och 1 är signalart (S): backstarr (NT), månlåsbräken (NT), brun nållav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