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39840-2026 i Leksands kommun</w:t>
      </w:r>
    </w:p>
    <w:p>
      <w:r>
        <w:t>Denna tillsynsbegäran behandlar höga naturvärden i avverkningsanmälan A 39840-2026 i Leksands kommun som inkom 2026-09-25 och omfattar 12,5 ha.</w:t>
      </w:r>
    </w:p>
    <w:p>
      <w:pPr>
        <w:pStyle w:val="Caption"/>
      </w:pPr>
      <w:r>
        <w:drawing>
          <wp:inline xmlns:a="http://schemas.openxmlformats.org/drawingml/2006/main" xmlns:pic="http://schemas.openxmlformats.org/drawingml/2006/picture">
            <wp:extent cx="4606738" cy="5724000"/>
            <wp:docPr id="1" name="Picture 1"/>
            <wp:cNvGraphicFramePr>
              <a:graphicFrameLocks noChangeAspect="1"/>
            </wp:cNvGraphicFramePr>
            <a:graphic>
              <a:graphicData uri="http://schemas.openxmlformats.org/drawingml/2006/picture">
                <pic:pic>
                  <pic:nvPicPr>
                    <pic:cNvPr id="0" name="A 39840-2026 karta.png"/>
                    <pic:cNvPicPr/>
                  </pic:nvPicPr>
                  <pic:blipFill>
                    <a:blip r:embed="rId16"/>
                    <a:stretch>
                      <a:fillRect/>
                    </a:stretch>
                  </pic:blipFill>
                  <pic:spPr>
                    <a:xfrm>
                      <a:off x="0" y="0"/>
                      <a:ext cx="4606738" cy="5724000"/>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6724746, E 466679 i SWEREF 99 TM.</w:t>
      </w:r>
    </w:p>
    <w:p>
      <w:r>
        <w:t>I avverkningsanmälan finns fynd av 6 naturvårdsarter, varav 3 är rödlistade, 4 är fridlysta och 4 är typiska (T): fjällig taggsvamp s.str. (NT), tretåig hackspett (NT, T, §4), vedtrappmossa (NT, T), blåsippa (T, §9), tjäder (T, §4) och revlummer (§9).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Fjällig taggsvamp s.str. (NT)</w:t>
      </w:r>
      <w:r>
        <w:t xml:space="preserve"> bildar mykorrhiza med gran i granskog och barrblandskog, främst på frisk näringsrik mark i äldre skog med lång trädkontinuitet. Den totala populationen i landet har minskat och bedöms fortsätta minska till följd av avverkning av äldre barrskogar. Minskningstakten för den svenska populationen bedöms vara nära gränsvärdet för sårbar (VU) (SLU Artdatabanken, 2026).</w:t>
      </w:r>
    </w:p>
    <w:p>
      <w:r>
        <w:rPr>
          <w:b/>
        </w:rPr>
        <w:t>Tretåig hackspett (NT, §4)</w:t>
      </w:r>
      <w:r>
        <w:t xml:space="preserve"> är rödlistad som nära hotad och ingår i bilaga 1 i EU:s fågeldirektiv. Tretåig hackspett är för sin överlevnad beroende av kontinuerlig tillförsel av äldre döende och död ved, som sker genom naturliga självgallringsprocesser i äldre grannaturskogar och barrblandade naturskogar. Om en skog genom skogsbruk gallras eller glesas ur så upphör och uteblir i stort sett den naturliga självgallringsprocessen för mycket lång tid framöver vilket omöjliggör upprätthållandet av den kontinuerliga ekologiska funktionen i ett område. Det finns studier som visar att naturskogens självgallringsprocess som den tretåiga hackspetten är beroende av, inte kan ersättas med efterlämnad hänsyn i skogsbruket (Imbeau &amp; Desrochers, 2002). Storleken på häckningsreviret varierar med skogstypen, förekomsten av död ved och graden av fragmentering, men är i allmänhet i storleksordningen 25–100 hektar. Vintertid krävs ofta betydligt större områden och det finns studier som antyder att arten behöver minst 100 hektar äldre skog. I områden med låg bonitet kan det behövas över 200 hektar lämpligt habitat för att ett par ska kunna reproducera sig. Områden med dokumenterad permanent förekomst i naturskogsmiljöer har vanligen så stora naturvärden att skogsbruk är olämpligt. Tretåig hackspett är typisk art för </w:t>
      </w:r>
      <w:r>
        <w:rPr>
          <w:i/>
        </w:rPr>
        <w:t xml:space="preserve">9010 Taiga, 9740 Skogsbevuxen myr, 9030 Landhöjningsskog </w:t>
      </w:r>
      <w:r>
        <w:t xml:space="preserve">och </w:t>
      </w:r>
      <w:r>
        <w:rPr>
          <w:i/>
        </w:rPr>
        <w:t>9040 Fjällbjörkskog</w:t>
      </w:r>
      <w:r>
        <w:t xml:space="preserve"> (Skogsstyrelsen, 2016; SLU Artdatabanken, 2024).</w:t>
      </w:r>
    </w:p>
    <w:p>
      <w:r>
        <w:rPr>
          <w:b/>
        </w:rPr>
        <w:t xml:space="preserve">Vedtrappmossa (NT) </w:t>
      </w:r>
      <w:r>
        <w:t xml:space="preserve">växer på död ved, främst i gammal granskog. Den förekommer knappast alls i fjällnära barrskogar utan finns i skogslandskapet nedom fjällen och framför allt i landets södra delar är den en mycket bra signalart för barrnaturskog med höga naturvärden. Skogsavverkning och brist på grov död ved i skogen är de allvarligaste hoten och den överlever inte kalhyggesbruk. Lokaler med sluten granskog, tillräckligt stora för att säkerställa ett kontinuerligt tillskott på grova lågor, bör undantas från storskaligt skogsbruk. Vedtrappmossa är typisk art för </w:t>
      </w:r>
      <w:r>
        <w:rPr>
          <w:i/>
        </w:rPr>
        <w:t>9010 Taiga</w:t>
      </w:r>
      <w:r>
        <w:t xml:space="preserve"> (SLU Artdatabanken, 2024).</w:t>
      </w:r>
    </w:p>
    <w:p>
      <w:r>
        <w:rPr>
          <w:b/>
        </w:rPr>
        <w:t>Blåsippa (§9)</w:t>
      </w:r>
      <w:r>
        <w:t xml:space="preserve"> är typisk art för </w:t>
      </w:r>
      <w:r>
        <w:rPr>
          <w:i/>
        </w:rPr>
        <w:t>9050 Näringsrik granskog, 9020 Nordlig ädellövskog</w:t>
      </w:r>
      <w:r>
        <w:t xml:space="preserve"> och </w:t>
      </w:r>
      <w:r>
        <w:rPr>
          <w:i/>
        </w:rPr>
        <w:t>8240 Karsthällmarker</w:t>
      </w:r>
      <w:r>
        <w:t xml:space="preserve"> (SLU Artdatabanken, 2025).</w:t>
      </w:r>
    </w:p>
    <w:p>
      <w:r>
        <w:rPr>
          <w:b/>
        </w:rPr>
        <w:t>Tjäder (§4)</w:t>
      </w:r>
      <w:r>
        <w:t xml:space="preserve"> omfattas av bilaga 1 och 2 EU:s fågeldirektiv och är typisk art för </w:t>
      </w:r>
      <w:r>
        <w:rPr>
          <w:i/>
        </w:rPr>
        <w:t xml:space="preserve">9010 Taiga </w:t>
      </w:r>
      <w:r>
        <w:t xml:space="preserve">och </w:t>
      </w:r>
      <w:r>
        <w:rPr>
          <w:i/>
        </w:rPr>
        <w:t>9740 Skogsbevuxen myr</w:t>
      </w:r>
      <w:r>
        <w:t>. Tjädern är en utpräglad skogsfågel knuten till större sammanhängande barrskogsområden. Tupparna och hönorna utnyttjar till viss del olika miljöer, och habitatvalet varierar dessutom mellan olika delar av året. För att det ska finnas livskraftiga tjäderbestånd krävs funktionella skogslandskap med en blandning av uppvuxen, gles och luckig skog, täta sumpskogar, myrar och andra små våtmarker. Arten försvinner när skogen fragmenteras och den sammanlagda arealen hyggen och andra öppna områden blir för stor. Ett småskaligt och försiktigt virkesuttag genom hyggesfria metoder kan i vissa fall vara möjligt i området inom 200 m från lekcentrum. Längre ut från lekcentrum, inom 200–500 m bör den avverkade ytan inte överskrida 1 hektar för att undvika alltför stora och snabba förändringar (Skogsstyrelsen, 2019; SLU Artdatabanken, 2024).</w:t>
      </w:r>
    </w:p>
    <w:p>
      <w:pPr>
        <w:pStyle w:val="Heading1"/>
      </w:pPr>
      <w:r>
        <w:t>EU:s fågeldirektiv</w:t>
      </w:r>
    </w:p>
    <w:p>
      <w:r>
        <w:t xml:space="preserve">Europeiska unionens medlemsländer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br w:type="page"/>
      </w:r>
    </w:p>
    <w:p>
      <w:pPr>
        <w:pStyle w:val="Title"/>
      </w:pPr>
      <w:r>
        <w:t>BILAGA 1 – Fridlysta arter</w:t>
      </w:r>
    </w:p>
    <w:p>
      <w:pPr>
        <w:pStyle w:val="Heading1"/>
      </w:pPr>
      <w:r>
        <w:t>Tretåig hackspett – ekologi samt krav på livsmiljön</w:t>
      </w:r>
    </w:p>
    <w:p>
      <w:r>
        <w:t xml:space="preserve">Tretåig hackspett (NT) är fridlyst enligt §4 Artskyddsförordningen och finns med som prioriterad art i Skogsstyrelsen vägledning för skogsbruket (bilaga 4 till SVL). I vägledningen står bland annat att: </w:t>
      </w:r>
      <w:r>
        <w:rPr>
          <w:i/>
        </w:rPr>
        <w:t xml:space="preserve">“Tretåig hackspett har stora arealkrav och höga krav på sin livsmiljö. Omdaningen av naturskogar till kulturskogar medför en förlust av viktiga miljöer, något som förstärks av ökad fragmentering till följd av avverkningar.” </w:t>
      </w:r>
      <w:r>
        <w:t xml:space="preserve">Vidare att: </w:t>
      </w:r>
      <w:r>
        <w:rPr>
          <w:i/>
        </w:rPr>
        <w:t>“Områden med dokumenterad permanent förekomst i naturskogsmiljöer har vanligen så stora naturvärden att skogsbruk är olämpligt”</w:t>
      </w:r>
      <w:r>
        <w:t xml:space="preserve"> (SLU Artdatabanken, 2024; Skogsstyrelsen, 2016)</w:t>
      </w:r>
      <w:r>
        <w:rPr>
          <w:i/>
        </w:rPr>
        <w:t>.</w:t>
      </w:r>
    </w:p>
    <w:p>
      <w:r>
        <w:t>Tretåig hackspett är beroende av större sammanhängande naturskogar med kontinuerlig tillgång och nybildning av död ved och fragmentering av livsmiljöerna utgör ett stort hot mot arten (se exempelvis Stachura-Skierczynska et al., 2009; Wesolowski et al., 2005; Butler et al., 2004; Pakkala et al., 2002; Amcoff et al., 1996; Virkkala, 1991). Det finns studier som visar att naturskogens självgallringsprocess som den tretåiga hackspetten är beroende av, inte kan ersättas med efterlämnad hänsyn i skogsbruket (Imbeau &amp; Desrochers, 2002).</w:t>
      </w:r>
    </w:p>
    <w:p>
      <w:r>
        <w:t>Permanenta revir av tretåig hackspett karaktäriseras ofta av artens typiska ringformigt ordnade hackmärken på framför allt gamla granar. För att säkerställa att inte revir av tretåig hackspett drabbas av avverkningsplanerna bör en inventering göras i området både under häckningstid och under vintern, då arten utnyttjar betydligt större områden än under sommarens häckningsrevir. Storleken på häckningsreviret varierar med skogstypen, förekomsten av död ved och graden av fragmentering, men är i allmänhet i storleksordningen 25–100 hektar (SLU Artdatabanken, 2024; Skogsstyrelsen, 2016).</w:t>
      </w:r>
    </w:p>
    <w:p>
      <w:r>
        <w:t xml:space="preserve">Förutom fridlysning enligt §4 Artskyddsförordningen är tretåig hackspett även förtecknad i EU:s fågeldirektiv bilaga 1. Den är typisk art för </w:t>
      </w:r>
      <w:r>
        <w:rPr>
          <w:i/>
        </w:rPr>
        <w:t xml:space="preserve">9010 Taiga, 9740 Skogsbevuxen myr, 9030 Landhöjningsskog </w:t>
      </w:r>
      <w:r>
        <w:t xml:space="preserve">och </w:t>
      </w:r>
      <w:r>
        <w:rPr>
          <w:i/>
        </w:rPr>
        <w:t>9040 Fjällbjörkskog</w:t>
      </w:r>
      <w:r>
        <w:t xml:space="preserve"> samt ingår i Natura 2000 och är förtecknad i Bernkonventionen bilaga II (strikt skyddade djurarter) (SLU Artdatabanken, 2024; Skogsstyrelsen, 2016).</w:t>
      </w:r>
    </w:p>
    <w:p>
      <w:pPr>
        <w:pStyle w:val="Heading2"/>
      </w:pPr>
      <w:r>
        <w:t>Referenser – tretåig hackspett</w:t>
      </w:r>
    </w:p>
    <w:p>
      <w:r>
        <w:t xml:space="preserve">Amcoff, M. &amp; Eriksson, P. 1996. </w:t>
      </w:r>
      <w:r>
        <w:rPr>
          <w:i/>
        </w:rPr>
        <w:t xml:space="preserve">Förekomst av tretåig hackspett Picoides tridactylus på bestånds- och landskapsnivå. </w:t>
      </w:r>
      <w:r>
        <w:t>Ornis Svecica 6: 107–119.</w:t>
      </w:r>
    </w:p>
    <w:p>
      <w:r>
        <w:t xml:space="preserve">Butler, R., Angelstam, P., Ekelund, P. &amp; Schlaeffer, R. 2004. </w:t>
      </w:r>
      <w:r>
        <w:rPr>
          <w:i/>
        </w:rPr>
        <w:t xml:space="preserve">Dead wood threshold values for the three-toed woodpecker presence in boreal and sub-Alpine forest. </w:t>
      </w:r>
      <w:r>
        <w:t>Biological conservation 119(3): 305–318.</w:t>
      </w:r>
    </w:p>
    <w:p>
      <w:r>
        <w:t xml:space="preserve">Imbeau, L. &amp; Desrochers, A. 2002. </w:t>
      </w:r>
      <w:r>
        <w:rPr>
          <w:i/>
        </w:rPr>
        <w:t xml:space="preserve">Foraging Ecology and Use of Drumming Trees by Three-Toed Woodpeckers. </w:t>
      </w:r>
      <w:r>
        <w:t>The Journal of Wildlife Management. Vol. 66, No. 1 (Jan., 2002), pp. 222–231.</w:t>
      </w:r>
    </w:p>
    <w:p>
      <w:r>
        <w:t xml:space="preserve">Pakkala, T., Hanski, I. &amp; Tomppo, E. 2002. </w:t>
      </w:r>
      <w:r>
        <w:rPr>
          <w:i/>
        </w:rPr>
        <w:t xml:space="preserve">Spatial ecology of the three-toed woodpecker in managed forest landscapes. </w:t>
      </w:r>
      <w:r>
        <w:t>Silva Fennica 36(1): 279–288.</w:t>
      </w:r>
    </w:p>
    <w:p>
      <w:r>
        <w:t xml:space="preserve">Skogsstyrelsen, 2016. </w:t>
      </w:r>
      <w:r>
        <w:rPr>
          <w:i/>
        </w:rPr>
        <w:t>Vägledning för hänsyn till fåglar – Tretåig hackspett.</w:t>
      </w:r>
    </w:p>
    <w:p>
      <w:r>
        <w:t xml:space="preserve">SLU Artdatabanken, 2024. </w:t>
      </w:r>
      <w:r>
        <w:rPr>
          <w:i/>
        </w:rPr>
        <w:t xml:space="preserve">Artfaktablad. Naturvård – artfakta. </w:t>
      </w:r>
      <w:r>
        <w:t>SLU Artdatabanken, Uppsala.</w:t>
      </w:r>
    </w:p>
    <w:p>
      <w:r>
        <w:t xml:space="preserve">Stachura-Skierczynska, K., Tumiel, T. &amp; Skierczynski, M. 2009. </w:t>
      </w:r>
      <w:r>
        <w:rPr>
          <w:i/>
        </w:rPr>
        <w:t xml:space="preserve">Habitat prediction model for three-toed woodpecker and its implications for the conservation of biologically valuable forests. </w:t>
      </w:r>
      <w:r>
        <w:t>Forest Ecology and Management 258(5): 697–703.</w:t>
      </w:r>
    </w:p>
    <w:p>
      <w:r>
        <w:t xml:space="preserve">Virkkala, R. 1991. </w:t>
      </w:r>
      <w:r>
        <w:rPr>
          <w:i/>
        </w:rPr>
        <w:t xml:space="preserve">Population trends of forest birds in a Finnish Lapland landscape of large habitat blocks – Consequences of stochastic environmental variation or regional habitat alteration. </w:t>
      </w:r>
      <w:r>
        <w:t>Biological conservation 56(2): 223–240.</w:t>
      </w:r>
    </w:p>
    <w:p>
      <w:r>
        <w:t xml:space="preserve">Wesolowski, T., Czeszczewik, D. &amp; Rowinski, P. 2005. </w:t>
      </w:r>
      <w:r>
        <w:rPr>
          <w:i/>
        </w:rPr>
        <w:t xml:space="preserve">Effects of forest management on Three-toed Woodpecker Picoides tridactylus distribution in the Bialowieza Forest (NE Poland): conservation implications. </w:t>
      </w:r>
      <w:r>
        <w:t>Acta Ornithologica 40(1): 53–60.</w:t>
      </w:r>
    </w:p>
    <w:p>
      <w:pPr>
        <w:pStyle w:val="Heading1"/>
      </w:pPr>
      <w:r>
        <w:t>Tjäder – ekologi samt krav på livsmiljön</w:t>
      </w:r>
    </w:p>
    <w:p>
      <w:r>
        <w:t xml:space="preserve">Tjäder (§4) omfattas av bilaga 1 och 2 EU:s fågeldirektiv och är typisk art för </w:t>
      </w:r>
      <w:r>
        <w:rPr>
          <w:i/>
        </w:rPr>
        <w:t xml:space="preserve">9010 Taiga </w:t>
      </w:r>
      <w:r>
        <w:t xml:space="preserve">och </w:t>
      </w:r>
      <w:r>
        <w:rPr>
          <w:i/>
        </w:rPr>
        <w:t>9740 Skogsbevuxen myr</w:t>
      </w:r>
      <w:r>
        <w:t>. Tjädern är en utpräglad skogsfågel knuten till större sammanhängande barrskogsområden. Tupparna och hönorna utnyttjar till viss del olika miljöer, och habitatvalet varierar dessutom mellan olika delar av året. För att det ska finnas livskraftiga tjäderbestånd krävs funktionella skogslandskap med en blandning av uppvuxen, gles och luckig skog, täta sumpskogar, myrar och andra små våtmarker (Skogsstyrelsen, 2019; SLU Artdatabanken 2024).</w:t>
      </w:r>
    </w:p>
    <w:p>
      <w:r>
        <w:t>Arten försvinner när skogen fragmenteras och den sammanlagda arealen hyggen och andra öppna områden blir för stor. Ett småskaligt och försiktigt virkesuttag genom hyggesfria metoder kan i vissa fall vara möjligt i området inom 200 m från lekcentrum. Längre ut från lekcentrum, inom 200–500 m bör den avverkade ytan inte överskrida 1 hektar för att undvika alltför stora och snabba förändringar (Skogsstyrelsen, 2019).</w:t>
      </w:r>
    </w:p>
    <w:p>
      <w:pPr>
        <w:pStyle w:val="Heading2"/>
      </w:pPr>
      <w:r>
        <w:t>Referenser – tjäder</w:t>
      </w:r>
    </w:p>
    <w:p>
      <w:r>
        <w:t xml:space="preserve">Skogsstyrelsen, 2019. </w:t>
      </w:r>
      <w:r>
        <w:rPr>
          <w:i/>
        </w:rPr>
        <w:t>Vägledning för hänsyn till fåglar – tjäder.</w:t>
      </w:r>
    </w:p>
    <w:p>
      <w:r>
        <w:t xml:space="preserve">SLU Artdatabanken, 2024.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2026-10-31</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