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64194-2021 i Leksands kommun</w:t>
      </w:r>
    </w:p>
    <w:p>
      <w:r>
        <w:t>Detta dokument behandlar höga naturvärden i avverkningsanmälan A 64194-2021 i Leksands kommun. Denna avverkningsanmälan inkom 2021-11-10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50 naturvårdsarter hittats: knärot (VU, §8), rynkskinn (VU), taggfingersvamp (VU), barrviolspindling (NT), garnlav (NT), grantaggsvamp (NT), gränsticka (NT), gul taggsvamp (NT), gultoppig fingersvamp (NT), järpe (NT, §4), mindre hackspett (NT, §4), motaggsvamp (NT), nordfladdermus (NT, §4a), orange taggsvamp (NT), rosenticka (NT), rödvingetrast (NT, §4), skuggviol (NT), spillkråka (NT, §4), stjärntagging (NT), svartvit taggsvamp (NT), talltita (NT, §4), tretåig hackspett (NT, §4), ullticka (NT), barkticka (S), bronshjon (S), fjällig taggsvamp s.str. (S), hagfingersvamp (S), korallblylav (S), plattlummer (S, §9), rödgul trumpetsvamp (S), skinnlav (S), sotriska (S), spindelblomster (S, §8), svavelriska (S), thomsons trägnagare (S), tvåblad (S, §8), vedticka (S), vågbandad barkbock (S), ögonpyrola (S), gråspett (§4), sparvuggla (§4), tajgafladdermus (§4a), vattenfladdermus (§4a), åkergroda (§4a), vanlig groda (§6), fläcknycklar (§8), grönvit nattviol (§8), nattviol (§8), blåsippa (§9) och revlummer (§9). Av dessa är 23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4403"/>
            <wp:docPr id="1" name="Picture 1"/>
            <wp:cNvGraphicFramePr>
              <a:graphicFrameLocks noChangeAspect="1"/>
            </wp:cNvGraphicFramePr>
            <a:graphic>
              <a:graphicData uri="http://schemas.openxmlformats.org/drawingml/2006/picture">
                <pic:pic>
                  <pic:nvPicPr>
                    <pic:cNvPr id="0" name="A 64194-2021 karta.png"/>
                    <pic:cNvPicPr/>
                  </pic:nvPicPr>
                  <pic:blipFill>
                    <a:blip r:embed="rId16"/>
                    <a:stretch>
                      <a:fillRect/>
                    </a:stretch>
                  </pic:blipFill>
                  <pic:spPr>
                    <a:xfrm>
                      <a:off x="0" y="0"/>
                      <a:ext cx="5486400" cy="4194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6729135, E 510938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Gul taggsvamp (NT) </w:t>
      </w:r>
      <w:r>
        <w:t>bildar mykorrhiza med gran helst på kalkrik mark, gärna i fuktig äldre ängsgranskog. Slutavverkning och markberedning missgynnar arten och fler områden med äldre skog på näringsrik mark, framför allt i södra och mellersta Sverige, behöver bevaras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Skuggviol (NT)</w:t>
      </w:r>
      <w:r>
        <w:t xml:space="preserve"> förekommer från Värmland upp till Norrbotten och Torne lappmark. Den växer i örtrika hägg- eller gråalsdominerade lövlundar i fuktstråk nedanför sydbergsbranter, i raviner eller vid rikare partier längs åar och bäckar. Lokaler för skuggviol bör undantas från skogsbruk och vid avverkningar i närheten av skuggviolens biotoper är det viktigt att lämna stormfasta kantzoner. Dikningar som direkt eller indirekt påverkar dessa miljöer bör inte heller utföras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järpe (NT, §4), mindre hackspett (NT, §4), nordfladdermus (NT, §4a), rödvingetrast (NT, §4), spillkråka (NT, §4), talltita (NT, §4), tretåig hackspett (NT, §4), plattlummer (S, §9), spindelblomster (S, §8), tvåblad (S, §8), gråspett (§4), sparvuggla (§4), tajgafladdermus (§4a), vattenfladdermus (§4a), åkergroda (§4a), vanlig groda (§6), fläcknycklar (§8), grönvit nattviol (§8), nattviol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2.47 ha med buffertzonerna och får av detta skäl inte avverkas.</w:t>
      </w:r>
    </w:p>
    <w:p>
      <w:pPr>
        <w:pStyle w:val="Caption"/>
      </w:pPr>
      <w:r>
        <w:drawing>
          <wp:inline xmlns:a="http://schemas.openxmlformats.org/drawingml/2006/main" xmlns:pic="http://schemas.openxmlformats.org/drawingml/2006/picture">
            <wp:extent cx="5486400" cy="6543207"/>
            <wp:docPr id="2" name="Picture 2"/>
            <wp:cNvGraphicFramePr>
              <a:graphicFrameLocks noChangeAspect="1"/>
            </wp:cNvGraphicFramePr>
            <a:graphic>
              <a:graphicData uri="http://schemas.openxmlformats.org/drawingml/2006/picture">
                <pic:pic>
                  <pic:nvPicPr>
                    <pic:cNvPr id="0" name="A 64194-2021 karta knärot.png"/>
                    <pic:cNvPicPr/>
                  </pic:nvPicPr>
                  <pic:blipFill>
                    <a:blip r:embed="rId17"/>
                    <a:stretch>
                      <a:fillRect/>
                    </a:stretch>
                  </pic:blipFill>
                  <pic:spPr>
                    <a:xfrm>
                      <a:off x="0" y="0"/>
                      <a:ext cx="5486400" cy="65432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6729135, E 510938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Tajgafladdermus (§4a)</w:t>
      </w:r>
      <w:r>
        <w:t xml:space="preserve"> omfattas av bilaga 4 EU:s art- och habitatdirektiv vilket innebär ett strikt skydd för arten och dess livsmiljöer. Tajgafladdermusen är på alla sätt mycket lik den närstående arten mustaschfladdermus och påträffas i alla skogstyper, men förekomsten är störst vid sumpskogar och blöta skogar. Den jagar såväl nära marken som uppe i trädkronorna. Under kolonitiden rör sig tajgafladdermusen inom ett mycket litet område, oftast max 1 km från kolonin och undviker att flyga i öppna områden. För tajgafladdermusen är det särskilt värdefullt att bevara eller skapa sumpskogar och andra blöta skogar med många ihåliga träd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