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5574-2024 i Leksands kommun</w:t>
      </w:r>
    </w:p>
    <w:p>
      <w:r>
        <w:t>Detta klagomål behandlar höga naturvärden i avverkningsanmälan A 5574-2024 i Leksands kommun som inkom 2024-02-12 och omfattar 0,4 ha.</w:t>
      </w:r>
    </w:p>
    <w:p>
      <w:pPr>
        <w:pStyle w:val="Caption"/>
      </w:pPr>
      <w:r>
        <w:drawing>
          <wp:inline xmlns:a="http://schemas.openxmlformats.org/drawingml/2006/main" xmlns:pic="http://schemas.openxmlformats.org/drawingml/2006/picture">
            <wp:extent cx="5486400" cy="4909417"/>
            <wp:docPr id="1" name="Picture 1"/>
            <wp:cNvGraphicFramePr>
              <a:graphicFrameLocks noChangeAspect="1"/>
            </wp:cNvGraphicFramePr>
            <a:graphic>
              <a:graphicData uri="http://schemas.openxmlformats.org/drawingml/2006/picture">
                <pic:pic>
                  <pic:nvPicPr>
                    <pic:cNvPr id="0" name="A 5574-2024 karta.png"/>
                    <pic:cNvPicPr/>
                  </pic:nvPicPr>
                  <pic:blipFill>
                    <a:blip r:embed="rId16"/>
                    <a:stretch>
                      <a:fillRect/>
                    </a:stretch>
                  </pic:blipFill>
                  <pic:spPr>
                    <a:xfrm>
                      <a:off x="0" y="0"/>
                      <a:ext cx="5486400" cy="4909417"/>
                    </a:xfrm>
                    <a:prstGeom prst="rect"/>
                  </pic:spPr>
                </pic:pic>
              </a:graphicData>
            </a:graphic>
          </wp:inline>
        </w:drawing>
      </w:r>
    </w:p>
    <w:p>
      <w:pPr>
        <w:pStyle w:val="Caption"/>
        <w:spacing w:after="240"/>
      </w:pPr>
      <w:r>
        <w:t>Figur 1. Fyndplatser för naturvårdsarter inom 20 meter från avverkningsanmälan. Markörer utan svart kant är placerade på fyndplatsen. Markörer med svart kant är placerade vid sidan av fyndplatsen och har ett svart streck som visar fyndplatsens exakta position. Kartans mittpunktskoordinat är N 6730872, E 494054 i SWEREF 99 TM.</w:t>
      </w:r>
    </w:p>
    <w:p>
      <w:r>
        <w:t>Inom 20 meter från avverkningsanmälan finns fynd av 6 naturvårdsarter, varav 3 är rödlistade och 3 är signalarter (S): slåttergubbe (VU), lilavaxing (NT), scharlakansvaxing (NT), blodvaxing (S), broskvaxing (S) och papegojvaxing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Scharlakansvaxing (NT) </w:t>
      </w:r>
      <w:r>
        <w:t>växer mest på magra, ogödslade naturbetes- och slåttermarker men kan sällsynt även påträffas i luckig skogsmark och på rikare mulljord i ädellövskog. Arten är globalt rödlistad som sårbar (VU) vilket innebär att Sverige har ett internationellt ansvar för arten (SLU Artdatabanken, 2024; IUCN,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