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1500-2025 i Leksands kommun</w:t>
      </w:r>
    </w:p>
    <w:p>
      <w:r>
        <w:t>Denna tillsynsbegäran behandlar höga naturvärden i samrådsanmälan S 1500-2025 i Leksands kommun som inkom 2025-05-13 och omfattar 5,0 ha.</w:t>
      </w:r>
    </w:p>
    <w:p>
      <w:pPr>
        <w:pStyle w:val="Caption"/>
      </w:pPr>
      <w:r>
        <w:drawing>
          <wp:inline xmlns:a="http://schemas.openxmlformats.org/drawingml/2006/main" xmlns:pic="http://schemas.openxmlformats.org/drawingml/2006/picture">
            <wp:extent cx="5052120" cy="5724000"/>
            <wp:docPr id="1" name="Picture 1"/>
            <wp:cNvGraphicFramePr>
              <a:graphicFrameLocks noChangeAspect="1"/>
            </wp:cNvGraphicFramePr>
            <a:graphic>
              <a:graphicData uri="http://schemas.openxmlformats.org/drawingml/2006/picture">
                <pic:pic>
                  <pic:nvPicPr>
                    <pic:cNvPr id="0" name="S 1500-2025 karta.png"/>
                    <pic:cNvPicPr/>
                  </pic:nvPicPr>
                  <pic:blipFill>
                    <a:blip r:embed="rId16"/>
                    <a:stretch>
                      <a:fillRect/>
                    </a:stretch>
                  </pic:blipFill>
                  <pic:spPr>
                    <a:xfrm>
                      <a:off x="0" y="0"/>
                      <a:ext cx="5052120"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6733083, E 513268 i SWEREF 99 TM.</w:t>
      </w:r>
    </w:p>
    <w:p>
      <w:r>
        <w:t>I och inom 24 meter från samrådsanmälan finns fynd av 29 naturvårdsarter, varav 10 är rödlistade, 11 är fridlysta, 19 är typiska (T) och 7 är signalarter (S): knärot (VU, T, §8), spadskinn (VU), doftskinn (NT, T), dofttaggsvamp (NT, T), dropptaggsvamp (NT, T), motaggsvamp (NT, T), nordtagging (NT), orange taggsvamp (NT, T), talltita (NT, §4), tretåig hackspett (NT, T, §4), bronshjon (S, T), gullgröppa (S), mindre märgborre (S, T), nästlav (S, T), rödgul trumpetsvamp (S), svavelriska (S), vedticka (S, T), gråspett (T, §4), kransmossa (T), kärrviol (T), linnea (T), spillkråka (T, §4), sälg (T), tjäder (T, §4), tofsmes (T, §4), kungsfågel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53 fyndplatser för knärot registrerade på Artportalen. Figur 2 visar gränserna för buffertzoner på 50 m, som behöver lämnas kring fyndplatserna för att knärotslokalerna inte ska försvinna vid en avverkning. Av det samrådsanmälda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5614605"/>
            <wp:docPr id="2" name="Picture 2"/>
            <wp:cNvGraphicFramePr>
              <a:graphicFrameLocks noChangeAspect="1"/>
            </wp:cNvGraphicFramePr>
            <a:graphic>
              <a:graphicData uri="http://schemas.openxmlformats.org/drawingml/2006/picture">
                <pic:pic>
                  <pic:nvPicPr>
                    <pic:cNvPr id="0" name="S 1500-2025 karta knärot.png"/>
                    <pic:cNvPicPr/>
                  </pic:nvPicPr>
                  <pic:blipFill>
                    <a:blip r:embed="rId17"/>
                    <a:stretch>
                      <a:fillRect/>
                    </a:stretch>
                  </pic:blipFill>
                  <pic:spPr>
                    <a:xfrm>
                      <a:off x="0" y="0"/>
                      <a:ext cx="5486400" cy="561460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6733083, E 513268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doftskinn (NT, T), dofttaggsvamp (NT, T), dropptaggsvamp (NT, T), motaggsvamp (NT, T), orange taggsvamp (NT, T), tretåig hackspett (NT, T, §4), bronshjon (S, T), mindre märgborre (S, T), nästlav (S, T), vedticka (S, T), gråspett (T, §4), kransmossa (T), kärrviol (T), linnea (T), spillkråka (T, §4), sälg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