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164-2024 i Leksands kommun</w:t>
      </w:r>
    </w:p>
    <w:p>
      <w:r>
        <w:t>Detta klagomål behandlar höga naturvärden i avverkningsanmälan A 164-2024 i Leksands kommun som inkom 2024-01-03 och omfattar 3,7 ha.</w:t>
      </w:r>
    </w:p>
    <w:p>
      <w:pPr>
        <w:pStyle w:val="Caption"/>
      </w:pPr>
      <w:r>
        <w:drawing>
          <wp:inline xmlns:a="http://schemas.openxmlformats.org/drawingml/2006/main" xmlns:pic="http://schemas.openxmlformats.org/drawingml/2006/picture">
            <wp:extent cx="3692078" cy="5724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36920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6719572, E 488226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