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och fridlysta arter i avverkningsanmälan A 30224-2025 i Leksands kommun</w:t>
      </w:r>
    </w:p>
    <w:p>
      <w:r>
        <w:t>Detta dokument behandlar höga naturvärden i avverkningsanmälan A 30224-2025 i Leksands kommun. Denna avverkningsanmälan inkom 2025-06-19 09:03:10 och omfattar 14,6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och fridlysta arter som gjorts i det avverkningsanmälda området. I BILAGA 1 finns artfakta om fridlysta och rödlistade arter.</w:t>
      </w:r>
    </w:p>
    <w:p>
      <w:pPr>
        <w:pStyle w:val="Heading1"/>
      </w:pPr>
      <w:r>
        <w:t>Naturvårdsarter</w:t>
      </w:r>
    </w:p>
    <w:p>
      <w:r>
        <w:t>I avverkningsanmälan har följande 8 naturvårdsarter hittats: garnlav (NT), kolflarnlav (NT), spillkråka (NT, §4), tallticka (NT), ullticka (NT), vedflamlav (NT), vedskivlav (NT) och mindre märgborre (S). Av dessa är 7 rödlistade. För rödlistade arter har rödlistekategorin angivits inom parentes. Arter som är signalarter enligt Skogsstyrelsen har markerats med (S).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4945640"/>
            <wp:docPr id="1" name="Picture 1"/>
            <wp:cNvGraphicFramePr>
              <a:graphicFrameLocks noChangeAspect="1"/>
            </wp:cNvGraphicFramePr>
            <a:graphic>
              <a:graphicData uri="http://schemas.openxmlformats.org/drawingml/2006/picture">
                <pic:pic>
                  <pic:nvPicPr>
                    <pic:cNvPr id="0" name="A 30224-2025 karta.png"/>
                    <pic:cNvPicPr/>
                  </pic:nvPicPr>
                  <pic:blipFill>
                    <a:blip r:embed="rId16"/>
                    <a:stretch>
                      <a:fillRect/>
                    </a:stretch>
                  </pic:blipFill>
                  <pic:spPr>
                    <a:xfrm>
                      <a:off x="0" y="0"/>
                      <a:ext cx="5486400" cy="4945640"/>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6731653, E 477753 i SWEREF 99 TM.</w:t>
      </w:r>
    </w:p>
    <w:p>
      <w:r>
        <w:rPr>
          <w:b/>
        </w:rPr>
        <w:t>Garnlav (NT)</w:t>
      </w:r>
      <w:r>
        <w:t xml:space="preserve"> är en utpräglad barrskogsart som ibland kan drapera träden i norrländska grannaturskogar med hög luftfuktighet. Den förekommer även i talldominerade bestånd där den, förutom i trädens grenverk, påträffas hängande över ojämnheter i tallbarken. Arten har minskat starkt i södra och mellersta Sverige och den minskar även i sitt nordliga utbredningsområde. Orsaken till tillbakagången beror främst på slutavverkningar av naturskogsartade skogar. Bestånd med riklig förekomst bör regelmässigt sparas. Garnlav är värdväxt för den mycket sällsynta och akut hotade fjärilen barrskogslavfly (CR) som hör hemma i boreala barrskogar med riklig förekomst av värdväxten. Tidigare kunde arten konstateras årligen på flera platser vid Dala-Floda i Dalarna innan lokalerna kalavverkades. Senaste fyndet i landet av barrskogslavfly är från år 2000 då den påträffades vid Högberget i Sollefteå kommun (SLU Artdatabanken, 2024).</w:t>
      </w:r>
    </w:p>
    <w:p>
      <w:r>
        <w:rPr>
          <w:b/>
        </w:rPr>
        <w:t>Kolflarnlav (NT)</w:t>
      </w:r>
      <w:r>
        <w:t xml:space="preserve"> är brandberoende och växer nästan uteslutande på kolad hård kärnved av tall. Etableringen verkar ske först 100–300 år efter brand och nytt substrat nybildas i mycket begränsad omfattning. Avverkning av tallskog av naturskogskaraktär med spår av återkommande bränder är ett hot och mängden lämplig ved att växa på för arten minskar dels på grund av naturlig nedbrytning men framförallt på grund av att det förstörs i samband med slutavverkningar, gallringar och markberedning. Såväl kolflarnlav som mörk kolflarnlav har glänsande bålfjäll och förekommer främst i tall- och blandbarrskogar av naturskogskaraktär med spår av återkommande bränder. Skogar som dessa hyser höga biologiska värden och bör skyddas (SLU Artdatabanken, 2024).</w:t>
      </w:r>
    </w:p>
    <w:p>
      <w:r>
        <w:rPr>
          <w:b/>
        </w:rPr>
        <w:t>Mindre märgborre</w:t>
      </w:r>
      <w:r>
        <w:t xml:space="preserve"> är en signalart för tallskog med höga naturvärden och betraktas tillsammans med skarptandad barkborre (NT) som nyckelarter för ett antal sällsynta åtgärdsprogramsarter som är beroende av deras gångsystem. Bland dessa kan nämnas avlång barkborre (VU), </w:t>
      </w:r>
      <w:r>
        <w:rPr>
          <w:i/>
        </w:rPr>
        <w:t>Corticeus longulus</w:t>
      </w:r>
      <w:r>
        <w:t xml:space="preserve"> (VU), tallbarksvartbagge (VU), tallgångbagge (VU) och cholodkovskys bastborre (NT). Den mindre märgborrens måsvingeliknande gnaggångar är lätta att känna igen och hittas ofta på grova tallgrenar på marken. Rika förekomster av främst mindre märgborre men även skarptandad barkborre (NT) är en signal för artrikedom och inventeringar har visat att det är i skogar med en naturlig självgallring som det skapas förutsättningar för dessa arter samt de efterföljande åtgärdsprogramsarterna. Tallskogar med stark förekomst av mindre märgborre och skarptandad barkborre bör avsättas som reservat. Generellt bör hänsyn tas vid slutavverkning av talldominerad skog så att avverkningsrester som gren- och toppdelar lämnas (Pettersson, 2014; Hedgren, 2012; Gunnarsson m fl., 1999).</w:t>
      </w:r>
    </w:p>
    <w:p>
      <w:r>
        <w:rPr>
          <w:b/>
        </w:rPr>
        <w:t xml:space="preserve">Tallticka (NT) </w:t>
      </w:r>
      <w:r>
        <w:t>uppträder först på tallar som är 100–150 år gamla men är vanligast på träd som är runt 150–200 år eller äldre. I skogslandskapet är den främst knuten till tallnaturskogar och restbiotoper med biologiskt gamla träd och signalerar vanligtvis skyddsvärda tallbestånd med höga naturvärden (SLU Artdatabanken, 2023; Nitare &amp; Skogsstyrelsen, 2019).</w:t>
      </w:r>
    </w:p>
    <w:p>
      <w:r>
        <w:rPr>
          <w:b/>
        </w:rPr>
        <w:t>Ullticka (NT)</w:t>
      </w:r>
      <w:r>
        <w:t xml:space="preserve"> är knuten till restbestånd av barrnaturskog och förekommer med ett tydligt optimum i orörda eller måttligt påverkade gamla granskogar där det föreligger viss kontinuitet av grov död ved. Ullticka är en bra signalart inom hela sitt utbredningsområde och i södra Sverige är den sällsynt och en god signalart för skyddsvärda granskogsmiljöer. Den hotas av avverkning och fragmentering av naturskog och äldre granskog med lång trädkontinuitet. På ullticka kan ibland ulltickeporing (VU) påträffas - det är en sällsynt ticka som nyligen delats upp i tre olika arter: </w:t>
      </w:r>
      <w:r>
        <w:rPr>
          <w:i/>
        </w:rPr>
        <w:t xml:space="preserve">Skeletocutis brevispora </w:t>
      </w:r>
      <w:r>
        <w:t>(ulltickeporing)</w:t>
      </w:r>
      <w:r>
        <w:rPr>
          <w:i/>
        </w:rPr>
        <w:t>, Skeletocutis delicata och Skeletocutis exilis</w:t>
      </w:r>
      <w:r>
        <w:t>. De två sistnämnda arterna står för närvarande (2020) som ej bedömda i rödlistan (SLU Artdatabanken, 2024; Nitare &amp; Skogsstyrelsen, 2019; Miettinen &amp; Niemelä, 2018).</w:t>
      </w:r>
    </w:p>
    <w:p>
      <w:r>
        <w:rPr>
          <w:b/>
        </w:rPr>
        <w:t>Vedflamlav (NT)</w:t>
      </w:r>
      <w:r>
        <w:t xml:space="preserve"> växer på gammal hård och torr, exponerad kärnved av tall, främst på högstubbar i ljusöppna lägen, t.ex. vid och på myrar, sjökanter, i glesa hällmarkskogar och i brandpräglade tallnaturskogar. Substratet nyskapas i begränsad omfattning och arten är en utmärkt indikator på höga naturvärden i denna skogstyp. Tall- och barrblandskogar med naturskogskaraktär och spår av bränder har ofta höga biologiska värden och bör skyddas (SLU Artdatabanken, 2024).</w:t>
      </w:r>
    </w:p>
    <w:p>
      <w:r>
        <w:rPr>
          <w:b/>
        </w:rPr>
        <w:t>Vedskivlav (NT)</w:t>
      </w:r>
      <w:r>
        <w:t xml:space="preserve"> växer på gammal, torr, exponerad, hård kärnved av framförallt tall i naturskogsartade bestånd. Avverkning av tallskog av naturskogskaraktär med spår av återkommande bränder är ett hot. Mängden lämplig ved att växa på för vedskivlav minskar, dels på grund av naturlig nedbrytning men framförallt på grund av att de förstörs i samband med slutavverkningar, gallringar och markberedning. Tall- och blandbarrskogar av naturskogskaraktär med spår av återkommande bränder bör skyddas (SLU Artdatabanken, 2024).</w:t>
      </w:r>
    </w:p>
    <w:p>
      <w:pPr>
        <w:pStyle w:val="Heading1"/>
      </w:pPr>
      <w:r>
        <w:t>Fridlysta arter</w:t>
      </w:r>
    </w:p>
    <w:p>
      <w:r>
        <w:t>Följande fridlysta arter har sina livsmiljöer och växtplatser i den avverkningsanmälda skogen: spillkråka (NT, §4).</w:t>
      </w:r>
    </w:p>
    <w:p>
      <w:r>
        <w:t xml:space="preserve">Observera att medlemsländerna är skyldiga att agera i enlighet med EU:s fågeldirektiv där det uttryckligen står att direktivet gäller för fåglar samt för deras ägg, bon och </w:t>
      </w:r>
      <w:r>
        <w:rPr>
          <w:b/>
        </w:rPr>
        <w:t xml:space="preserve">livsmiljöer </w:t>
      </w:r>
      <w:r>
        <w:t>(artikel 1). Vidare att de åtgärder som vidtas inte får leda till en försämring av den nuvarande situationen beträffande bevarandet av de fågelarter som avses i artikel 1 (artikel 13). Fågeldirektivet är styrande för tillsynsansvariga myndigheters ärendehantering, ställningstaganden och beslutsfattande.</w:t>
      </w:r>
    </w:p>
    <w:p>
      <w:r>
        <w:rPr>
          <w:b/>
        </w:rPr>
        <w:t>Spillkråka (NT, §4)</w:t>
      </w:r>
      <w:r>
        <w:t xml:space="preserve"> är rödlistad som nära hotad och ingår i bilaga 1 i EU:s fågeldirektiv. Den minskar i population på grund av minskad tillgång på lämpliga bo- och födoträd och minskad födotillgång. Spillkråkans minskningstakt har uppgått till 19 (24–10) % under de senaste 15 åren. Minskningstakten för den svenska populationen bedöms vara nära gränsvärdet för Sårbar (VU) (A2bc). Skogsbruk med korta omloppstider och täta, homogena ungskogar utgör det största hotet, (SLU Artdatabanken, 2023).</w:t>
      </w:r>
    </w:p>
    <w:p>
      <w:r>
        <w:t>I BILAGA 1 finns mer detaljerad information om ekologi samt krav på livsmiljö hos fridlysta arter.</w:t>
      </w:r>
    </w:p>
    <w:p>
      <w:r>
        <w:br w:type="page"/>
      </w:r>
    </w:p>
    <w:p>
      <w:pPr>
        <w:pStyle w:val="Title"/>
      </w:pPr>
      <w:r>
        <w:t>BILAGA 1 –</w:t>
        <w:br/>
        <w:t>Fridlysta och rödlistade arter</w:t>
      </w:r>
    </w:p>
    <w:p>
      <w:pPr>
        <w:pStyle w:val="Heading1"/>
      </w:pPr>
      <w:r>
        <w:t>Mindre märgborre – ekologi samt krav på livsmiljön</w:t>
      </w:r>
    </w:p>
    <w:p>
      <w:r>
        <w:t xml:space="preserve">Mindre märgborre är en signalart för tallskog med höga naturvärden och kan lätt konstateras genom sina karaktäristiska måsvingeliknande gnagspår som ofta hittas på grova tallgrenar på marken. Mindre märgborre betraktas tillsammans med skarptandad barkborre (NT) som nyckelarter, eftersom en rad sällsynta efterföljande arter är beroende av deras gångsystem. Bland dessa kan nämnas åtgärdsprogramsarterna avlång barkborre (VU), </w:t>
      </w:r>
      <w:r>
        <w:rPr>
          <w:i/>
        </w:rPr>
        <w:t>Corticeus longulus</w:t>
      </w:r>
      <w:r>
        <w:t xml:space="preserve"> (VU), tallbarksvartbagge (VU), tallgångbagge (VU) och cholodkovskys bastborre (NT) (Pettersson, 2014; Gunnarsson m fl., 1999).</w:t>
      </w:r>
    </w:p>
    <w:p>
      <w:r>
        <w:t>Tallskogar tillhör de livsmiljöer som förändrats i stor skala, där många kvadratmil har omvandlats till unga produktionsskogar. I sådana skogar saknas förutsättningar för de ovannämnda sällsynta barkborrarna och alltmer kunskap tyder på att skogsbrukets omvandling av skogslandskapet, missgynnar åtgärdsprogrammets arter även inne i skyddade områden (Hedgren, 2012; Hedgren m.fl., 2010; Wikars m.fl., 2010; Wikars, 2009). Orsaken är sannolikt att dagens intensiva skogsbruk trivialiserar faunan på nydöda träd. Detta sker genom att generalister förökas upp i sådan grad i den brukade skogen att dessa även kommer att dominera i de för hållandevis små och fragmenterade områden som avsätts för naturvård (Appelqvist, 2005; Janzen, 1983; Ås, 1999).</w:t>
      </w:r>
    </w:p>
    <w:p>
      <w:r>
        <w:t>Ett tydligt exempel på en generalist som gynnas av dagens skogsbruk är större märgborre på nydöd tall. Denna utvecklas förutom i vindfällen gärna i avverkningsavfall, inklusive avverkningsstubbar och röjningsstammar. Därmed har den större märgborren möjlighet att upprätthålla stora och stabila populationer på huvuddelen av landets skogsmark, vilket leder till en trivialisering av faunan. Större märgborre inverkar sannolikt direkt negativt på arter som tolvtandad barkborre (EN) och avlång barkborre (VU), och indirekt på de som är gynnade av blånadssvampar, dvs. följearter till framförallt mindre märgborre och skarptandad barkborre (NT). De barkborrar som missgynnas av större märgborre är i mycket högre grad gynnade av tallar som dör genom självgallring, dvs. i normalfallet skog som inte används till skogsproduktion (Pettersson, 2014; Wikars, skriftl.).</w:t>
      </w:r>
    </w:p>
    <w:p>
      <w:r>
        <w:t>Rika förekomster av främst mindre märgborre men även skarptandad barkborre (NT) är en signal för artrikedom och inventeringar har visat att det är i skogar med en naturlig självgallring som det skapas förutsättningar för dessa arter samt de efterföljande åtgärdsprogramsarterna (Pettersson, 2014; Hedgren, 2012). Tallskogar med stark förekomst av mindre märgborre och skarptandad barkborre bör avsättas som reservat. Generellt bör hänsyn tas vid slutavverkning av talldominerad skog så att avverkningsrester som gren- och toppdelar (s.k. GROT) lämnas (Pettersson, 2014).</w:t>
      </w:r>
    </w:p>
    <w:p>
      <w:pPr>
        <w:pStyle w:val="Heading2"/>
      </w:pPr>
      <w:r>
        <w:t>Referenser – mindre märgborre</w:t>
      </w:r>
    </w:p>
    <w:p>
      <w:r>
        <w:t xml:space="preserve">Appelqvist, T., 2005. </w:t>
      </w:r>
      <w:r>
        <w:rPr>
          <w:i/>
        </w:rPr>
        <w:t>Naturvårdsbiologisk forskning. Underlag för områdesskydd i landskapet.</w:t>
      </w:r>
      <w:r>
        <w:t xml:space="preserve"> Naturvårdsverket, Rapport 5452.</w:t>
      </w:r>
    </w:p>
    <w:p>
      <w:r>
        <w:t xml:space="preserve">Gunnarsson, B., Pettersson, R. B., Hake, M. och Hultengren, S. &amp; Sjöberg, K., 1999. </w:t>
      </w:r>
      <w:r>
        <w:rPr>
          <w:i/>
        </w:rPr>
        <w:t xml:space="preserve">Spindlar och skalbaggar som indikatorer i barrskog. </w:t>
      </w:r>
      <w:r>
        <w:t>Skog &amp; Forskning, Nr. 2/99, s. 46–51.</w:t>
      </w:r>
    </w:p>
    <w:p>
      <w:r>
        <w:t xml:space="preserve">Hedgren, O., 2012. </w:t>
      </w:r>
      <w:r>
        <w:rPr>
          <w:i/>
        </w:rPr>
        <w:t>Hotade insekter på tallved i Dalarna.</w:t>
      </w:r>
      <w:r>
        <w:t xml:space="preserve"> Länsstyrelsen Dalarna, Naturvårdsenheten. Rapport 2012:16.</w:t>
      </w:r>
    </w:p>
    <w:p>
      <w:r>
        <w:t xml:space="preserve">Hedgren, O. 2010. </w:t>
      </w:r>
      <w:r>
        <w:rPr>
          <w:i/>
        </w:rPr>
        <w:t>Vedinsekter i tallskog och på brandfält i Värmland.</w:t>
      </w:r>
      <w:r>
        <w:t xml:space="preserve"> Länsstyrelsen Värmland, Stencil, 39 s.</w:t>
      </w:r>
    </w:p>
    <w:p>
      <w:r>
        <w:t xml:space="preserve">Janzen, D. H., 1983. </w:t>
      </w:r>
      <w:r>
        <w:rPr>
          <w:i/>
        </w:rPr>
        <w:t>No park is an island: Increase in interference from outside as park size decreases</w:t>
      </w:r>
      <w:r>
        <w:t>. Oikos 41: 402–410.</w:t>
      </w:r>
    </w:p>
    <w:p>
      <w:r>
        <w:t xml:space="preserve">Jonsell, M., Weslien, J. &amp; Ehn ström, B., 1998. </w:t>
      </w:r>
      <w:r>
        <w:rPr>
          <w:i/>
        </w:rPr>
        <w:t>Substrate requirements of red-listed saproxylic invertebrates in Sweden</w:t>
      </w:r>
      <w:r>
        <w:t>. Biodiversity and Conserv. 7: 749–764.</w:t>
      </w:r>
    </w:p>
    <w:p>
      <w:r>
        <w:t xml:space="preserve">Pettersson, R. B., 2014). </w:t>
      </w:r>
      <w:r>
        <w:rPr>
          <w:i/>
        </w:rPr>
        <w:t>Åtgärdsprogram för skalbaggar på nyligen död tall, 2014–2018.</w:t>
      </w:r>
      <w:r>
        <w:t xml:space="preserve"> Rapport 6599. Bromma: Naturvårdsverket.</w:t>
      </w:r>
    </w:p>
    <w:p>
      <w:r>
        <w:t xml:space="preserve">Wikars, L.-O., Hansson, J. &amp; Hedgren, O., 2010. </w:t>
      </w:r>
      <w:r>
        <w:rPr>
          <w:i/>
        </w:rPr>
        <w:t>Inventering av vedlevande skalbaggar – tallskogar i Örebro län.</w:t>
      </w:r>
      <w:r>
        <w:t xml:space="preserve"> Länsstyrelsen i Örebro län, publ.nr. 2010:2.</w:t>
      </w:r>
    </w:p>
    <w:p>
      <w:r>
        <w:t xml:space="preserve">Wikars, L.-O., 2009. </w:t>
      </w:r>
      <w:r>
        <w:rPr>
          <w:i/>
        </w:rPr>
        <w:t>Vedskalbaggar i Hamra nationalpark, Gävleborgs län.</w:t>
      </w:r>
      <w:r>
        <w:t xml:space="preserve"> Länsstyrelsen Gävleborg, Rapport 2009:14.</w:t>
      </w:r>
    </w:p>
    <w:p>
      <w:pPr>
        <w:pStyle w:val="Heading1"/>
      </w:pPr>
      <w:r>
        <w:t>Spillkråka – ekologi samt krav på livsmiljön</w:t>
      </w:r>
    </w:p>
    <w:p>
      <w:r>
        <w:t>Spillkråka (NT) är rödlistad som nära hotad, fridlyst enligt §4 Artskyddsförordningen och ingår i bilaga 1 i EU:s fågeldirektiv. Spillkråka lever i både barr- och blandskog liksom i ren lövskog. De tätaste populationerna tenderar att finnas i äldre, variationsrik blandskog med gott om död ved och gamla träd.</w:t>
      </w:r>
    </w:p>
    <w:p>
      <w:r>
        <w:t>Varje par utnyttjar 400–1000 hektar skog beroende på skogens kvalitet. En minskning av populationen pågår på grund av minskad tillgång på lämpliga bo- och födoträd och minskad födotillgång. Spillkråkans minskningstakt har uppgått till 19 (24–10) % under de senaste 15 åren. Minskningstakten för den svenska populationen bedöms vara nära gränsvärdet för Sårbar (VU) (A2bc). Skogsbruk med korta omloppstider och täta, homogena ungskogar utgör det största hotet (Artdatabanken 2023).</w:t>
      </w:r>
    </w:p>
    <w:p>
      <w:pPr>
        <w:pStyle w:val="Heading2"/>
      </w:pPr>
      <w:r>
        <w:t>Referenser – spillkråka</w:t>
      </w:r>
    </w:p>
    <w:p>
      <w:r>
        <w:t xml:space="preserve">SLU Artdatabanken, 2021. </w:t>
      </w:r>
      <w:r>
        <w:rPr>
          <w:i/>
        </w:rPr>
        <w:t xml:space="preserve">Artfaktablad. Naturvård – artfakta. </w:t>
      </w:r>
      <w:r>
        <w:t>SLU Artdatabanken, Uppsala</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2025-11-25</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