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som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56 naturvårdsarter hittats: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2"/>
      </w:pPr>
      <w:r>
        <w:t>Fridlysta arter</w:t>
      </w:r>
    </w:p>
    <w:p>
      <w:r>
        <w:t>Följande fridlysta arter har sina livsmiljöer och växtplatser i den avverkningsanmälda skogen: grönfink (VU, §4), knärot (VU, T, §8), duvhök (NT, §4), lavskrika (NT, T, §4), mindre hackspett (NT, T, §4), talltita (NT, §4), tretåig hackspett (NT, T, §4), tvåblad (S, §8), blåsippa (T, §9), gråsiska (T, §4), gråspett (T, §4), järpe (T, §4), spillkråka (T, §4), tjäder (T, §4), grönsiska (§4), kungsfågel (§4), vanlig groda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