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37044-2025 i Leksands kommun</w:t>
      </w:r>
    </w:p>
    <w:p>
      <w:r>
        <w:t>Detta dokument behandlar höga naturvärden i avverkningsanmälan A 37044-2025 i Leksands kommun. Denna avverkningsanmälan inkom 2025-08-06 00:00:00 och omfattar 5,7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13 naturvårdsarter hittats: knärot (VU, §8), garnlav (NT), rosenticka (NT), spillkråka (NT, §4), tallticka (NT), tretåig hackspett (NT, §4), ullticka (NT), dropptaggsvamp (S), mindre märgborre (S), skarp dropptaggsvamp (S), vedticka (S), tjäder (§4) och fläcknycklar (§8).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838420"/>
            <wp:docPr id="1" name="Picture 1"/>
            <wp:cNvGraphicFramePr>
              <a:graphicFrameLocks noChangeAspect="1"/>
            </wp:cNvGraphicFramePr>
            <a:graphic>
              <a:graphicData uri="http://schemas.openxmlformats.org/drawingml/2006/picture">
                <pic:pic>
                  <pic:nvPicPr>
                    <pic:cNvPr id="0" name="A 37044-2025 karta.png"/>
                    <pic:cNvPicPr/>
                  </pic:nvPicPr>
                  <pic:blipFill>
                    <a:blip r:embed="rId16"/>
                    <a:stretch>
                      <a:fillRect/>
                    </a:stretch>
                  </pic:blipFill>
                  <pic:spPr>
                    <a:xfrm>
                      <a:off x="0" y="0"/>
                      <a:ext cx="5486400" cy="58384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6720605, E 494962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(Pettersson, 2014; Hedgren, 2012; Gunnarsson m fl., 1999).</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Ullticka är typisk art för </w:t>
      </w:r>
      <w:r>
        <w:rPr>
          <w:i/>
        </w:rPr>
        <w:t xml:space="preserve">9010 Taiga, 9050 Näringsrik granskog </w:t>
      </w:r>
      <w:r>
        <w:t xml:space="preserve">och </w:t>
      </w:r>
      <w:r>
        <w:rPr>
          <w:i/>
        </w:rPr>
        <w:t>9030 Landhöjningsskog</w:t>
      </w:r>
      <w:r>
        <w:t xml:space="preserve">.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tretåig hackspett (NT, §4), tjäder (§4)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11 fyndplatser för knärot registrerade på Artportalen. Figur 2 visar gränserna för buffertzoner på 50 m, som behöver lämnas kring fyndplatserna för att knärotslokalerna inte ska försvinna vid en avverkning. Av det avverkningsanmälda området överlappar 2.46 ha med buffertzonerna och får av detta skäl inte avverkas.</w:t>
      </w:r>
    </w:p>
    <w:p>
      <w:pPr>
        <w:pStyle w:val="Caption"/>
      </w:pPr>
      <w:r>
        <w:drawing>
          <wp:inline xmlns:a="http://schemas.openxmlformats.org/drawingml/2006/main" xmlns:pic="http://schemas.openxmlformats.org/drawingml/2006/picture">
            <wp:extent cx="5486400" cy="7705997"/>
            <wp:docPr id="2" name="Picture 2"/>
            <wp:cNvGraphicFramePr>
              <a:graphicFrameLocks noChangeAspect="1"/>
            </wp:cNvGraphicFramePr>
            <a:graphic>
              <a:graphicData uri="http://schemas.openxmlformats.org/drawingml/2006/picture">
                <pic:pic>
                  <pic:nvPicPr>
                    <pic:cNvPr id="0" name="A 37044-2025 karta knärot.png"/>
                    <pic:cNvPicPr/>
                  </pic:nvPicPr>
                  <pic:blipFill>
                    <a:blip r:embed="rId17"/>
                    <a:stretch>
                      <a:fillRect/>
                    </a:stretch>
                  </pic:blipFill>
                  <pic:spPr>
                    <a:xfrm>
                      <a:off x="0" y="0"/>
                      <a:ext cx="5486400" cy="770599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6720605, E 494962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2024.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