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33685-2025 i Leksands kommun</w:t>
      </w:r>
    </w:p>
    <w:p>
      <w:r>
        <w:t>Detta dokument behandlar höga naturvärden i avverkningsanmälan A 33685-2025 i Leksands kommun. Denna avverkningsanmälan inkom 2025-07-03 00:00:00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knärot (VU, §8), blå taggsvamp (NT), furustumpbagge (NT), garnlav (NT), kolflarnlav (NT), mörk kolflarnlav (NT), skrovlig flatbagge (NT), tallticka (NT), tretåig hackspett (NT, §4), bollvitmossa (S), dropptaggsvamp (S), mindre märgborre (S), skarp dropptaggsvamp (S), tjäder (§4) och nattviol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33685-2025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6727103, E 473688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Skrovlig flatbagge (NT) </w:t>
      </w:r>
      <w:r>
        <w:t>är en skalbagge vars larvutveckling sker i mycelrik ved nära fruktkroppar av timmerticka eller citronticka i lågor av barrträd, främst tall, men även gran. Fullbildade skalbaggar påträffas i eller utanpå stammen vid näringsgnag på de vitaktiga, resupinata fruktkropparna. Arten missgynnas framförallt av att skogen blir tätare på grund av skogsskötsel och av att såväl återkommande bränder som skogsbete upphört. I naturligt öppnare miljöer hotas arten av vedtäkt och annat tillvaratagande av tallvirke. Naturligt brunnen tallskog i eller nära lokaler med arten bör skyddas. I skogsbruket bör mer naturvårdsträd av tall och vindfällen lämnas i fred. Detta är särskilt viktigt i kantzoner mot mer öppen mark tex. invid hällmarksimpediment. Skrovlig flatbagge</w:t>
      </w:r>
      <w:r>
        <w:rPr>
          <w:b/>
        </w:rPr>
        <w:t xml:space="preserve"> </w:t>
      </w:r>
      <w:r>
        <w:t>ingår i ett åtgärdsprogram för hotade arter (ÅGP) (SLU Artdatabanken, 2024; Wikars, 2014).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tretåig hackspett (NT, §4), tjäder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2.55 ha med buffertzonerna och får av detta skäl inte avverkas.</w:t>
      </w:r>
    </w:p>
    <w:p>
      <w:pPr>
        <w:pStyle w:val="Caption"/>
      </w:pPr>
      <w:r>
        <w:drawing>
          <wp:inline xmlns:a="http://schemas.openxmlformats.org/drawingml/2006/main" xmlns:pic="http://schemas.openxmlformats.org/drawingml/2006/picture">
            <wp:extent cx="5486400" cy="7013566"/>
            <wp:docPr id="2" name="Picture 2"/>
            <wp:cNvGraphicFramePr>
              <a:graphicFrameLocks noChangeAspect="1"/>
            </wp:cNvGraphicFramePr>
            <a:graphic>
              <a:graphicData uri="http://schemas.openxmlformats.org/drawingml/2006/picture">
                <pic:pic>
                  <pic:nvPicPr>
                    <pic:cNvPr id="0" name="A 33685-2025 karta knärot.png"/>
                    <pic:cNvPicPr/>
                  </pic:nvPicPr>
                  <pic:blipFill>
                    <a:blip r:embed="rId17"/>
                    <a:stretch>
                      <a:fillRect/>
                    </a:stretch>
                  </pic:blipFill>
                  <pic:spPr>
                    <a:xfrm>
                      <a:off x="0" y="0"/>
                      <a:ext cx="5486400" cy="70135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6727103, E 473688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