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59826-2023 i Leksands kommun</w:t>
      </w:r>
    </w:p>
    <w:p>
      <w:r>
        <w:t>Denna tillsynsbegäran behandlar höga naturvärden i avverkningsanmälan A 59826-2023 i Leksands kommun som inkom 2023-11-24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0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6736061, E 506041 i SWEREF 99 TM.</w:t>
      </w:r>
    </w:p>
    <w:p>
      <w:r>
        <w:t>I avverkningsanmälan finns fynd av 2 naturvårdsarter, varav 1 är rödlistad, 2 är typiska (T) och 1 är signalart (S): stiftgelélav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Stiftgelélav (NT)</w:t>
      </w:r>
      <w:r>
        <w:t xml:space="preserve"> växer på gamla aspar och sälgar i blandskogar med hög luftfuktighet. Slutavverkning och vedhuggning är de största hoten och lokaler bör undantas från rationell skogsskötsel. På lång sikt måste inslaget av asp öka i svensk skog. Stiftgelélav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