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53849-2022 i Leksands kommun</w:t>
      </w:r>
    </w:p>
    <w:p>
      <w:r>
        <w:t>Detta dokument behandlar höga naturvärden i avverkningsanmälan A 53849-2022 i Leksands kommun. Denna avverkningsanmälan inkom 2022-11-11 00:00:00 och omfattar 24,8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hängticka (VU), knärot (VU, §8), rynkskinn (VU), doftskinn (NT), duvhök (NT, §4), garnlav (NT), granticka (NT), gropticka (NT), gränsticka (NT), grönhjon (NT), järpe (NT, §4), kådvaxskinn (NT), Leptoporus mollis (NT), luddfingersvamp (NT), mindre hackspett (NT, §4), motaggsvamp (NT), rosenticka (NT), spillkråka (NT, §4), tallticka (NT), talltita (NT, §4), tretåig hackspett (NT, §4), ullticka (NT), violettgrå tagellav (NT), vitgrynig nållav (NT), bollvitmossa (S), bronshjon (S), dropptaggsvamp (S), mindre märgborre (S), nästlav (S), svavelriska (S), thomsons trägnagare (S), trådticka (S), tvåblad (S, §8), vedticka (S), vågbandad barkbock (S), kungsfågel (§4), tjäder (§4), vanlig groda (§6), fläcknycklar (§8), nattviol (§8), blåsippa (§9), gullviva (§9)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790715"/>
            <wp:docPr id="1" name="Picture 1"/>
            <wp:cNvGraphicFramePr>
              <a:graphicFrameLocks noChangeAspect="1"/>
            </wp:cNvGraphicFramePr>
            <a:graphic>
              <a:graphicData uri="http://schemas.openxmlformats.org/drawingml/2006/picture">
                <pic:pic>
                  <pic:nvPicPr>
                    <pic:cNvPr id="0" name="A 53849-2022 karta.png"/>
                    <pic:cNvPicPr/>
                  </pic:nvPicPr>
                  <pic:blipFill>
                    <a:blip r:embed="rId16"/>
                    <a:stretch>
                      <a:fillRect/>
                    </a:stretch>
                  </pic:blipFill>
                  <pic:spPr>
                    <a:xfrm>
                      <a:off x="0" y="0"/>
                      <a:ext cx="5486400" cy="279071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6733041, E 511826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Gropticka (NT)</w:t>
      </w:r>
      <w:r>
        <w:t xml:space="preserve"> är en bra signalart som visar på skyddsvärda barrskogar i södra halvan av landet och kan betraktas som en sydlig ”urskogsindikator” eller gammelskogsindikator. Skogsbestånd där gropticka återfinns bör lämnas till fri utveckling. För att bibehålla arten i landet på sikt krävs att fler områden med gammal barrskog skyddas i Götaland och Svealand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 xml:space="preserve">Hängticka (VU) </w:t>
      </w:r>
      <w:r>
        <w:t>är en vedsvamp som växer på starkt multnade brunrötade stockar av olika barrträd men kan någon gång också uppträda på lövträd. Tickans ettåriga hattar sitter tilltryckta mot underlaget men fäster vid enbart på en eller ett par punkter på ovansidan. Den hängande hatten, sporernas form och artens växtplats ger ledning vid bestämningen, men arterna i släktet är svåra att skilja åt varför bra material och mikroskopering är nödvändigt för en säker artbestämning. Arten är sällsynt och tycks vara beroende av god tillgång på multnande ved. Den hotas därför av att lämpliga växtplatser saknas i rationellt skötta skogar. Artens växtplatser måste skyddas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duvhök (NT, §4), järpe (NT, §4), mindre hackspett (NT, §4), spillkråka (NT, §4), talltita (NT, §4), tretåig hackspett (NT, §4), tvåblad (S, §8), kungsfågel (§4), tjäder (§4), vanlig groda (§6), fläcknycklar (§8), nattviol (§8), blåsippa (§9), gullviva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Duvhök (NT, §4)</w:t>
      </w:r>
      <w:r>
        <w:t xml:space="preserve"> är rödlistad som nära hotad (NT) och har minskat med 22 (0–48) % under de senaste 18 åren. Minskningstakten för den svenska populationen bedöms vara nära gränsvärdet för Sårbar (VU). (A2bc). (SLU Artdatabanken, 2021). Duvhöken jagar helst inne i äldre skog och missgynnas av stora hyggen och täta planteringar. De gamla fåglarna är i huvudsak stationära i sina revir (Skogsstyrelsen, 2016). Duvhöken är starkt bunden till skogsmark och boet läggs inne i tät, oftast äldre skog. Kantzoner mot öppen mark undviks och duvhöken är därför känsligare för slutavverkning än flera andra rovfåglar. Duvhöken är beroende av insynsskyddade boplatser. Friställande av boträd eller avverkning så att boplatsen blir exponerad mot öppen mark, medför att platsen överges (Skogsstyrelsen, 2016). Eftersom duvhöken helst häckar i gammal skog, är dess häckningsplatser i princip alltid mer eller mindre hotade av skogsbruk och avverkningar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4.01 ha med buffertzonerna och får av detta skäl inte avverkas.</w:t>
      </w:r>
    </w:p>
    <w:p>
      <w:pPr>
        <w:pStyle w:val="Caption"/>
      </w:pPr>
      <w:r>
        <w:drawing>
          <wp:inline xmlns:a="http://schemas.openxmlformats.org/drawingml/2006/main" xmlns:pic="http://schemas.openxmlformats.org/drawingml/2006/picture">
            <wp:extent cx="5486400" cy="3616550"/>
            <wp:docPr id="2" name="Picture 2"/>
            <wp:cNvGraphicFramePr>
              <a:graphicFrameLocks noChangeAspect="1"/>
            </wp:cNvGraphicFramePr>
            <a:graphic>
              <a:graphicData uri="http://schemas.openxmlformats.org/drawingml/2006/picture">
                <pic:pic>
                  <pic:nvPicPr>
                    <pic:cNvPr id="0" name="A 53849-2022 karta knärot.png"/>
                    <pic:cNvPicPr/>
                  </pic:nvPicPr>
                  <pic:blipFill>
                    <a:blip r:embed="rId17"/>
                    <a:stretch>
                      <a:fillRect/>
                    </a:stretch>
                  </pic:blipFill>
                  <pic:spPr>
                    <a:xfrm>
                      <a:off x="0" y="0"/>
                      <a:ext cx="5486400" cy="36165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6733041, E 511826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Duvhök – ekologi samt krav på livsmiljön</w:t>
      </w:r>
    </w:p>
    <w:p>
      <w:r>
        <w:t>Duvhök (NT, §4) är rödlistad som nära hotad (NT) och har minskat med 22 (0–48) % under de senaste 18 åren. Minskningstakten för den svenska populationen bedöms vara nära gränsvärdet för Sårbar (VU). (A2bc). (SLU Artdatabanken, 2021).</w:t>
      </w:r>
    </w:p>
    <w:p>
      <w:r>
        <w:t>Duvhöken är starkt bunden till skogsmark, såväl för häckning som födosök. Den påträffas oftast i större skogsområden med äldre skog, men kan ibland även häcka i dungar i områden dominerade av öppen mark. De gamla fåglarna är i huvudsak stationära i sina revir. Duvhöken jagar helst inne i äldre skog och missgynnas av stora hyggen och täta planteringar (Skogsstyrelsen, 2016).</w:t>
      </w:r>
    </w:p>
    <w:p>
      <w:r>
        <w:t>Boet läggs inne i tät, oftast äldre skog. Kantzoner mot öppen mark undviks och duvhöken är därför känsligare för slutavverkning än flera andra rovfåglar. Boträdet måste vara grovgrenigt och är oftast en äldre gran eller tall, i sydligaste Sverige är bok vanligt. Duvhöken är beroende av insynsskyddade boplatser. Friställande av boträd eller avverkning så att boplatsen är exponerad mot öppen mark, medför att platsen överges. Samma bo kan användas flera år i rad, men likt andra rovfåglar har den normalt ett eller flera alternativa bon (Skogsstyrelsen, 2016). Eftersom duvhöken helst häckar i gammal skog, är dess häckningsplatser i princip alltid mer eller mindre hotade av skogsbruk och avverkningar (SLU Artdatabanken, 2021).</w:t>
      </w:r>
    </w:p>
    <w:p>
      <w:r>
        <w:t>Den viktigaste begränsande faktorn för duvhökspopulationen i stort är födan och ett allvarligare problem är därför den av skogsbruket orsakade storskaliga omvandlingen och utarmningen av skogslandskapet, som kan påverka såväl duvhökens möjlighet att jaga som förekomsten av viktiga byten. Duvhökens jaktteknik gör den beroende av landskapets utformning och sammansättning och dess preferens för gammal skog tyder på att den är anpassad till att jaga i skog som är “lagom” tät. I öppnare biotoper, till exempel hyggen, kommer dess jaktteknik inte till sin rätt och i tätare biotoper, t.ex. ungskogar, har den relativt stora duvhöken svårt att manövrera (SLU Artdatabanken, 2021).</w:t>
      </w:r>
    </w:p>
    <w:p>
      <w:r>
        <w:t>Minskningstakten har uppgått till 22 (0–48) % under de senaste 18 åren. Bedömningen baseras på ett för arten lämpligt abundansindex och minskad geografisk utbredning och/eller försämrad habitatkvalitet (allt yngre och tätare skogar vilket försvårar för boplacering samt försämrar jaktmöjligheterna). Minskningstakten för den svenska populationen bedöms vara nära gränsvärdet för Sårbar (VU). (A2bc).</w:t>
      </w:r>
    </w:p>
    <w:p>
      <w:pPr>
        <w:pStyle w:val="Heading2"/>
      </w:pPr>
      <w:r>
        <w:t>Referenser – duvhök</w:t>
      </w:r>
    </w:p>
    <w:p>
      <w:r>
        <w:t xml:space="preserve">Skogsstyrelsen, 2016. </w:t>
      </w:r>
      <w:r>
        <w:rPr>
          <w:i/>
        </w:rPr>
        <w:t xml:space="preserve">Duvhök – Vägledning för hänsyn till fåglar. </w:t>
      </w:r>
      <w:r>
        <w:t>https://www.skogsstyrelsen.se/globalassets/lag-och-tillsyn/artskydd/vagledningar-for-hansyn-till-faglar/duvhok-vagledning-hansyn2.pdf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