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5538-2026 i Leksands kommun</w:t>
      </w:r>
    </w:p>
    <w:p>
      <w:r>
        <w:t>Detta dokument behandlar höga naturvärden i avverkningsanmälan A 5538-2026 i Leksands kommun. Denna avverkningsanmälan inkom 2026-01-28 16:02:38 och omfattar 7,2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rynkskinn (VU), vågticka (VU), garnlav (NT), ullticka (NT), bronshjon (S), vedticka (S) och vågbandad barkbock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8424"/>
            <wp:docPr id="1" name="Picture 1"/>
            <wp:cNvGraphicFramePr>
              <a:graphicFrameLocks noChangeAspect="1"/>
            </wp:cNvGraphicFramePr>
            <a:graphic>
              <a:graphicData uri="http://schemas.openxmlformats.org/drawingml/2006/picture">
                <pic:pic>
                  <pic:nvPicPr>
                    <pic:cNvPr id="0" name="A 5538-2026 karta.png"/>
                    <pic:cNvPicPr/>
                  </pic:nvPicPr>
                  <pic:blipFill>
                    <a:blip r:embed="rId16"/>
                    <a:stretch>
                      <a:fillRect/>
                    </a:stretch>
                  </pic:blipFill>
                  <pic:spPr>
                    <a:xfrm>
                      <a:off x="0" y="0"/>
                      <a:ext cx="5486400" cy="63584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6740918, E 519138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r>
        <w:rPr>
          <w:b/>
        </w:rPr>
        <w:t>Rynkskinn (VU)</w:t>
      </w:r>
      <w:r>
        <w:t xml:space="preserve">,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Rynkskinn är typisk art för </w:t>
      </w:r>
      <w:r>
        <w:rPr>
          <w:i/>
        </w:rPr>
        <w:t xml:space="preserve">9010 Taiga, 9050 Näringsrik granskog </w:t>
      </w:r>
      <w:r>
        <w:t>och</w:t>
      </w:r>
      <w:r>
        <w:rPr>
          <w:i/>
        </w:rPr>
        <w:t xml:space="preserve"> 9030 Landhöjningsskog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Vågticka (VU) </w:t>
      </w:r>
      <w:r>
        <w:t>är knuten till kontinuitetsgranskogar med mycket död ved. Tidigare ansågs den som ytterst sällsynt men har nu blivit påträffad så många gånger att hotbilden eventuellt förändrats. Fortfarande är dock arten att anse som sårbar eftersom den fordrar rik tillgång till främst granlågor, ett substrat som minskat kraftigt i våra skogar. Vågtickans status bör ytterligare utredas. I väntan på detta måste fler av artens kända växtplatser säkerställas (SLU Artdatabanken, 2024).</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8443253"/>
            <wp:docPr id="2" name="Picture 2"/>
            <wp:cNvGraphicFramePr>
              <a:graphicFrameLocks noChangeAspect="1"/>
            </wp:cNvGraphicFramePr>
            <a:graphic>
              <a:graphicData uri="http://schemas.openxmlformats.org/drawingml/2006/picture">
                <pic:pic>
                  <pic:nvPicPr>
                    <pic:cNvPr id="0" name="A 5538-2026 karta knärot.png"/>
                    <pic:cNvPicPr/>
                  </pic:nvPicPr>
                  <pic:blipFill>
                    <a:blip r:embed="rId17"/>
                    <a:stretch>
                      <a:fillRect/>
                    </a:stretch>
                  </pic:blipFill>
                  <pic:spPr>
                    <a:xfrm>
                      <a:off x="0" y="0"/>
                      <a:ext cx="5486400" cy="844325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6740918, E 519138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